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7" w:line="211" w:lineRule="auto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巴中市中医院</w:t>
      </w:r>
      <w:r>
        <w:rPr>
          <w:rFonts w:hint="eastAsia" w:ascii="宋体" w:hAnsi="宋体" w:eastAsia="宋体" w:cs="宋体"/>
          <w:b/>
          <w:bCs/>
          <w:spacing w:val="-4"/>
          <w:sz w:val="40"/>
          <w:szCs w:val="40"/>
          <w:lang w:val="en-US" w:eastAsia="zh-CN"/>
        </w:rPr>
        <w:t>中药配方颗粒供应企业招标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评分细则</w:t>
      </w:r>
    </w:p>
    <w:p>
      <w:pPr>
        <w:spacing w:line="224" w:lineRule="auto"/>
        <w:ind w:left="95" w:right="25" w:firstLine="519"/>
        <w:jc w:val="left"/>
        <w:rPr>
          <w:rFonts w:ascii="Arial"/>
          <w:sz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遵循公开、公平、公正和诚实守信原则，由医院根据中药配方颗粒生产供应企业规模、经营范围、检验检测能力、售后服务承诺及实地查验综合评定确定供应企业。评审</w:t>
      </w:r>
      <w:r>
        <w:rPr>
          <w:rFonts w:ascii="仿宋" w:hAnsi="仿宋" w:eastAsia="仿宋" w:cs="仿宋"/>
          <w:spacing w:val="4"/>
          <w:sz w:val="32"/>
          <w:szCs w:val="32"/>
        </w:rPr>
        <w:t>小组</w:t>
      </w:r>
      <w:r>
        <w:rPr>
          <w:rFonts w:ascii="仿宋" w:hAnsi="仿宋" w:eastAsia="仿宋" w:cs="仿宋"/>
          <w:spacing w:val="5"/>
          <w:sz w:val="32"/>
          <w:szCs w:val="32"/>
        </w:rPr>
        <w:t>对报名企业的资格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审查</w:t>
      </w:r>
      <w:r>
        <w:rPr>
          <w:rFonts w:ascii="仿宋" w:hAnsi="仿宋" w:eastAsia="仿宋" w:cs="仿宋"/>
          <w:spacing w:val="5"/>
          <w:sz w:val="32"/>
          <w:szCs w:val="32"/>
        </w:rPr>
        <w:t>后再进行综合评分，未通过</w:t>
      </w:r>
      <w:r>
        <w:rPr>
          <w:rFonts w:ascii="仿宋" w:hAnsi="仿宋" w:eastAsia="仿宋" w:cs="仿宋"/>
          <w:spacing w:val="4"/>
          <w:sz w:val="32"/>
          <w:szCs w:val="32"/>
        </w:rPr>
        <w:t>资格审查的企业不参</w:t>
      </w:r>
      <w:r>
        <w:rPr>
          <w:rFonts w:ascii="仿宋" w:hAnsi="仿宋" w:eastAsia="仿宋" w:cs="仿宋"/>
          <w:spacing w:val="-7"/>
          <w:sz w:val="32"/>
          <w:szCs w:val="32"/>
        </w:rPr>
        <w:t>与评分。</w:t>
      </w:r>
    </w:p>
    <w:p>
      <w:pPr>
        <w:spacing w:before="82" w:line="219" w:lineRule="auto"/>
        <w:ind w:left="135"/>
        <w:rPr>
          <w:rFonts w:ascii="宋体" w:hAnsi="宋体" w:eastAsia="宋体" w:cs="宋体"/>
          <w:spacing w:val="17"/>
          <w:sz w:val="25"/>
          <w:szCs w:val="25"/>
        </w:rPr>
      </w:pPr>
    </w:p>
    <w:p>
      <w:pPr>
        <w:spacing w:before="82" w:line="219" w:lineRule="auto"/>
        <w:ind w:left="1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7"/>
          <w:sz w:val="25"/>
          <w:szCs w:val="25"/>
        </w:rPr>
        <w:t>供应企业名称：</w:t>
      </w:r>
    </w:p>
    <w:p>
      <w:pPr>
        <w:spacing w:line="199" w:lineRule="exact"/>
      </w:pPr>
    </w:p>
    <w:tbl>
      <w:tblPr>
        <w:tblStyle w:val="5"/>
        <w:tblW w:w="10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618"/>
        <w:gridCol w:w="699"/>
        <w:gridCol w:w="4506"/>
        <w:gridCol w:w="679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44" w:type="dxa"/>
            <w:vAlign w:val="top"/>
          </w:tcPr>
          <w:p>
            <w:pPr>
              <w:spacing w:before="156" w:line="221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618" w:type="dxa"/>
            <w:vAlign w:val="top"/>
          </w:tcPr>
          <w:p>
            <w:pPr>
              <w:spacing w:before="155" w:line="219" w:lineRule="auto"/>
              <w:ind w:left="10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类别</w:t>
            </w:r>
          </w:p>
        </w:tc>
        <w:tc>
          <w:tcPr>
            <w:tcW w:w="699" w:type="dxa"/>
            <w:vAlign w:val="top"/>
          </w:tcPr>
          <w:p>
            <w:pPr>
              <w:spacing w:before="155" w:line="219" w:lineRule="auto"/>
              <w:ind w:left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分值</w:t>
            </w:r>
          </w:p>
        </w:tc>
        <w:tc>
          <w:tcPr>
            <w:tcW w:w="4506" w:type="dxa"/>
            <w:vAlign w:val="top"/>
          </w:tcPr>
          <w:p>
            <w:pPr>
              <w:spacing w:before="155" w:line="220" w:lineRule="auto"/>
              <w:ind w:left="19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则</w:t>
            </w:r>
          </w:p>
        </w:tc>
        <w:tc>
          <w:tcPr>
            <w:tcW w:w="679" w:type="dxa"/>
            <w:vAlign w:val="top"/>
          </w:tcPr>
          <w:p>
            <w:pPr>
              <w:spacing w:before="155" w:line="219" w:lineRule="auto"/>
              <w:ind w:left="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得分</w:t>
            </w:r>
          </w:p>
        </w:tc>
        <w:tc>
          <w:tcPr>
            <w:tcW w:w="1414" w:type="dxa"/>
            <w:vAlign w:val="top"/>
          </w:tcPr>
          <w:p>
            <w:pPr>
              <w:spacing w:before="156" w:line="221" w:lineRule="auto"/>
              <w:ind w:left="4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4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spacing w:before="291" w:line="219" w:lineRule="auto"/>
              <w:ind w:left="5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原材料质量控制</w:t>
            </w:r>
          </w:p>
        </w:tc>
        <w:tc>
          <w:tcPr>
            <w:tcW w:w="699" w:type="dxa"/>
            <w:vAlign w:val="top"/>
          </w:tcPr>
          <w:p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06" w:type="dxa"/>
            <w:vAlign w:val="top"/>
          </w:tcPr>
          <w:p>
            <w:pPr>
              <w:spacing w:before="181" w:line="217" w:lineRule="auto"/>
              <w:ind w:left="53" w:right="1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根据投标人所提供的中药基地情况及原材料质量可控制措施评定。中药基地设施设备完备，有详细的质量控制及溯源措施完备得3分，有欠缺每项扣1分</w:t>
            </w:r>
          </w:p>
        </w:tc>
        <w:tc>
          <w:tcPr>
            <w:tcW w:w="679" w:type="dxa"/>
            <w:vAlign w:val="top"/>
          </w:tcPr>
          <w:p>
            <w:pPr>
              <w:spacing w:before="90" w:line="651" w:lineRule="exact"/>
              <w:ind w:firstLine="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44" w:type="dxa"/>
            <w:vAlign w:val="center"/>
          </w:tcPr>
          <w:p>
            <w:pPr>
              <w:spacing w:before="78" w:line="184" w:lineRule="auto"/>
              <w:ind w:left="254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8" w:type="dxa"/>
            <w:vAlign w:val="top"/>
          </w:tcPr>
          <w:p>
            <w:pPr>
              <w:spacing w:line="457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jc w:val="left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产品质量标准</w:t>
            </w:r>
          </w:p>
        </w:tc>
        <w:tc>
          <w:tcPr>
            <w:tcW w:w="699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06" w:type="dxa"/>
            <w:vAlign w:val="top"/>
          </w:tcPr>
          <w:p>
            <w:pPr>
              <w:spacing w:before="226" w:line="235" w:lineRule="auto"/>
              <w:ind w:left="23" w:leftChars="0" w:right="35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所提供的产品符合现行版药典标准及四川省中药炮制规范得3分，缺少一项扣1分</w:t>
            </w:r>
          </w:p>
        </w:tc>
        <w:tc>
          <w:tcPr>
            <w:tcW w:w="679" w:type="dxa"/>
            <w:vAlign w:val="top"/>
          </w:tcPr>
          <w:p>
            <w:pPr>
              <w:spacing w:before="90" w:line="651" w:lineRule="exact"/>
              <w:ind w:firstLine="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644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8" w:type="dxa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6" w:lineRule="auto"/>
              <w:ind w:left="51" w:righ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生产企业或经营企业未 来三月销售价格比较</w:t>
            </w:r>
          </w:p>
        </w:tc>
        <w:tc>
          <w:tcPr>
            <w:tcW w:w="699" w:type="dxa"/>
            <w:vAlign w:val="top"/>
          </w:tcPr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06" w:type="dxa"/>
            <w:vAlign w:val="top"/>
          </w:tcPr>
          <w:p>
            <w:pPr>
              <w:spacing w:before="193" w:line="237" w:lineRule="auto"/>
              <w:ind w:left="5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评审组临时抽选不低于</w:t>
            </w: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个品种进行对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比，价格最低者得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分，其余价格按由低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到高，以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分为阶梯递减。未报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该项不得分。</w:t>
            </w:r>
          </w:p>
        </w:tc>
        <w:tc>
          <w:tcPr>
            <w:tcW w:w="679" w:type="dxa"/>
            <w:vAlign w:val="top"/>
          </w:tcPr>
          <w:p>
            <w:pPr>
              <w:spacing w:line="42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ind w:firstLine="10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line="3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36" w:lineRule="auto"/>
              <w:ind w:left="38" w:right="146" w:hanging="1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见附件目录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44" w:type="dxa"/>
            <w:vAlign w:val="top"/>
          </w:tcPr>
          <w:p>
            <w:pPr>
              <w:spacing w:line="30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8" w:type="dxa"/>
            <w:vAlign w:val="top"/>
          </w:tcPr>
          <w:p>
            <w:pPr>
              <w:spacing w:before="203" w:line="217" w:lineRule="auto"/>
              <w:ind w:left="51" w:right="14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中药配方颗粒剂智能系统</w:t>
            </w:r>
          </w:p>
        </w:tc>
        <w:tc>
          <w:tcPr>
            <w:tcW w:w="699" w:type="dxa"/>
            <w:vAlign w:val="top"/>
          </w:tcPr>
          <w:p>
            <w:pPr>
              <w:spacing w:line="3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06" w:type="dxa"/>
            <w:vAlign w:val="top"/>
          </w:tcPr>
          <w:p>
            <w:pPr>
              <w:spacing w:before="213" w:line="217" w:lineRule="auto"/>
              <w:ind w:left="53" w:right="4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配备智能调配系统，设备先进且数量充足得10分，有欠缺扣10分；配备智能系统长期维保人员得5分，有欠缺扣5分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21" w:line="220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4" w:type="dxa"/>
            <w:vAlign w:val="top"/>
          </w:tcPr>
          <w:p>
            <w:pPr>
              <w:spacing w:line="33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spacing w:before="212" w:line="237" w:lineRule="auto"/>
              <w:ind w:left="51" w:right="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中药配方颗粒备案品种数</w:t>
            </w:r>
          </w:p>
        </w:tc>
        <w:tc>
          <w:tcPr>
            <w:tcW w:w="699" w:type="dxa"/>
            <w:vAlign w:val="top"/>
          </w:tcPr>
          <w:p>
            <w:pPr>
              <w:spacing w:line="33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06" w:type="dxa"/>
            <w:vAlign w:val="top"/>
          </w:tcPr>
          <w:p>
            <w:pPr>
              <w:spacing w:before="233" w:line="227" w:lineRule="auto"/>
              <w:ind w:left="5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>大于400个得5分，200-400个得3分，小于200个得1分。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225" w:line="220" w:lineRule="auto"/>
              <w:ind w:left="38" w:right="1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企业自主提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供目录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44" w:type="dxa"/>
            <w:vAlign w:val="top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8" w:type="dxa"/>
            <w:vAlign w:val="top"/>
          </w:tcPr>
          <w:p>
            <w:pPr>
              <w:spacing w:line="3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7" w:lineRule="auto"/>
              <w:ind w:left="51" w:right="1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生产企业存货规模</w:t>
            </w:r>
          </w:p>
        </w:tc>
        <w:tc>
          <w:tcPr>
            <w:tcW w:w="699" w:type="dxa"/>
            <w:vAlign w:val="top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06" w:type="dxa"/>
            <w:vAlign w:val="top"/>
          </w:tcPr>
          <w:p>
            <w:pPr>
              <w:spacing w:before="173" w:line="230" w:lineRule="auto"/>
              <w:ind w:left="5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生产企业存货规模：202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年12月期末存货达到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000万元得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3分，每增加1000万元加0.5分，最多加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。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spacing w:before="150" w:line="236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273" w:line="229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644" w:type="dxa"/>
            <w:vAlign w:val="top"/>
          </w:tcPr>
          <w:p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8" w:type="dxa"/>
            <w:vAlign w:val="top"/>
          </w:tcPr>
          <w:p>
            <w:pPr>
              <w:spacing w:line="4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2" w:lineRule="auto"/>
              <w:ind w:left="51" w:right="1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生产企业资金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充裕度</w:t>
            </w:r>
          </w:p>
        </w:tc>
        <w:tc>
          <w:tcPr>
            <w:tcW w:w="699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06" w:type="dxa"/>
            <w:vAlign w:val="top"/>
          </w:tcPr>
          <w:p>
            <w:pPr>
              <w:spacing w:before="236" w:line="219" w:lineRule="auto"/>
              <w:ind w:left="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生产企业资金充裕度：202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年或202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年12</w:t>
            </w:r>
          </w:p>
          <w:p>
            <w:pPr>
              <w:spacing w:before="35" w:line="214" w:lineRule="auto"/>
              <w:ind w:left="53" w:righ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月期末流动资金：货币资金+交易性金融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资产+应收款合计，达到600万元得2分，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每多200万元加0.5分，最多加2分。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1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4" w:type="dxa"/>
            <w:vAlign w:val="top"/>
          </w:tcPr>
          <w:p>
            <w:pPr>
              <w:spacing w:line="4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18" w:type="dxa"/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4" w:lineRule="auto"/>
              <w:ind w:left="51" w:right="1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生产企业销售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规模</w:t>
            </w:r>
          </w:p>
        </w:tc>
        <w:tc>
          <w:tcPr>
            <w:tcW w:w="699" w:type="dxa"/>
            <w:vAlign w:val="top"/>
          </w:tcPr>
          <w:p>
            <w:pPr>
              <w:spacing w:line="4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06" w:type="dxa"/>
            <w:vAlign w:val="top"/>
          </w:tcPr>
          <w:p>
            <w:pPr>
              <w:spacing w:before="74" w:line="22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年或202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年度销售额每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000万元得1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分，最多3分。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158" w:line="231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44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18" w:type="dxa"/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30" w:lineRule="auto"/>
              <w:ind w:left="51" w:right="1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生产企业关键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岗位人员</w:t>
            </w:r>
          </w:p>
        </w:tc>
        <w:tc>
          <w:tcPr>
            <w:tcW w:w="699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06" w:type="dxa"/>
            <w:vAlign w:val="top"/>
          </w:tcPr>
          <w:p>
            <w:pPr>
              <w:spacing w:before="147" w:line="236" w:lineRule="auto"/>
              <w:ind w:left="5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企业负责人、生产管理负责人、质量管理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负责人、质量受权人：人员稳定，3年内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未发生变更得3分，变更1人次扣1分，扣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完为止；前述关键岗位人员在本企业每注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1"/>
                <w:sz w:val="24"/>
                <w:szCs w:val="24"/>
              </w:rPr>
              <w:t>册1名执业药师(中药学)1年以上加0.5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分，最多加2分。</w:t>
            </w:r>
          </w:p>
        </w:tc>
        <w:tc>
          <w:tcPr>
            <w:tcW w:w="679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730" w:lineRule="exact"/>
              <w:ind w:firstLine="9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754" w:tblpY="24"/>
        <w:tblOverlap w:val="never"/>
        <w:tblW w:w="10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618"/>
        <w:gridCol w:w="709"/>
        <w:gridCol w:w="4526"/>
        <w:gridCol w:w="679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54" w:type="dxa"/>
            <w:vAlign w:val="top"/>
          </w:tcPr>
          <w:p>
            <w:pPr>
              <w:spacing w:before="156" w:line="221" w:lineRule="auto"/>
              <w:ind w:left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618" w:type="dxa"/>
            <w:vAlign w:val="top"/>
          </w:tcPr>
          <w:p>
            <w:pPr>
              <w:spacing w:before="155" w:line="219" w:lineRule="auto"/>
              <w:ind w:left="10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>类别</w:t>
            </w:r>
          </w:p>
        </w:tc>
        <w:tc>
          <w:tcPr>
            <w:tcW w:w="709" w:type="dxa"/>
            <w:vAlign w:val="top"/>
          </w:tcPr>
          <w:p>
            <w:pPr>
              <w:spacing w:before="155" w:line="219" w:lineRule="auto"/>
              <w:ind w:left="1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分值</w:t>
            </w:r>
          </w:p>
        </w:tc>
        <w:tc>
          <w:tcPr>
            <w:tcW w:w="4526" w:type="dxa"/>
            <w:vAlign w:val="top"/>
          </w:tcPr>
          <w:p>
            <w:pPr>
              <w:spacing w:before="155" w:line="220" w:lineRule="auto"/>
              <w:ind w:left="20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则</w:t>
            </w:r>
          </w:p>
        </w:tc>
        <w:tc>
          <w:tcPr>
            <w:tcW w:w="679" w:type="dxa"/>
            <w:vAlign w:val="top"/>
          </w:tcPr>
          <w:p>
            <w:pPr>
              <w:spacing w:before="155" w:line="219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得分</w:t>
            </w:r>
          </w:p>
        </w:tc>
        <w:tc>
          <w:tcPr>
            <w:tcW w:w="1444" w:type="dxa"/>
            <w:vAlign w:val="top"/>
          </w:tcPr>
          <w:p>
            <w:pPr>
              <w:spacing w:before="156" w:line="221" w:lineRule="auto"/>
              <w:ind w:left="5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 w:hRule="atLeast"/>
        </w:trPr>
        <w:tc>
          <w:tcPr>
            <w:tcW w:w="654" w:type="dxa"/>
            <w:vAlign w:val="top"/>
          </w:tcPr>
          <w:p>
            <w:pPr>
              <w:spacing w:before="291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18" w:type="dxa"/>
            <w:vAlign w:val="top"/>
          </w:tcPr>
          <w:p>
            <w:pPr>
              <w:spacing w:before="230" w:line="219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配置高效液相色谱仪</w:t>
            </w:r>
          </w:p>
        </w:tc>
        <w:tc>
          <w:tcPr>
            <w:tcW w:w="709" w:type="dxa"/>
            <w:vAlign w:val="top"/>
          </w:tcPr>
          <w:p>
            <w:pPr>
              <w:spacing w:before="291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26" w:type="dxa"/>
            <w:vAlign w:val="top"/>
          </w:tcPr>
          <w:p>
            <w:pPr>
              <w:spacing w:before="90" w:line="233" w:lineRule="auto"/>
              <w:ind w:left="23" w:right="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达到4台得4分，每多1台加0.5分，最多加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2分。</w:t>
            </w:r>
          </w:p>
        </w:tc>
        <w:tc>
          <w:tcPr>
            <w:tcW w:w="679" w:type="dxa"/>
            <w:vAlign w:val="top"/>
          </w:tcPr>
          <w:p>
            <w:pPr>
              <w:spacing w:before="149" w:line="541" w:lineRule="exact"/>
              <w:ind w:firstLine="2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654" w:type="dxa"/>
            <w:vAlign w:val="top"/>
          </w:tcPr>
          <w:p>
            <w:pPr>
              <w:spacing w:before="300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spacing w:before="239" w:line="219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配置气相色谱仪</w:t>
            </w:r>
          </w:p>
        </w:tc>
        <w:tc>
          <w:tcPr>
            <w:tcW w:w="709" w:type="dxa"/>
            <w:vAlign w:val="top"/>
          </w:tcPr>
          <w:p>
            <w:pPr>
              <w:spacing w:before="301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26" w:type="dxa"/>
            <w:vAlign w:val="top"/>
          </w:tcPr>
          <w:p>
            <w:pPr>
              <w:spacing w:before="89" w:line="229" w:lineRule="auto"/>
              <w:ind w:left="23" w:right="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配置气相色谱仪1台得2分，每多1台加0.5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分，最多加1分。</w:t>
            </w:r>
          </w:p>
        </w:tc>
        <w:tc>
          <w:tcPr>
            <w:tcW w:w="679" w:type="dxa"/>
            <w:vAlign w:val="top"/>
          </w:tcPr>
          <w:p>
            <w:pPr>
              <w:spacing w:before="99" w:line="560" w:lineRule="exac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4" w:type="dxa"/>
            <w:vAlign w:val="top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8" w:type="dxa"/>
            <w:vAlign w:val="top"/>
          </w:tcPr>
          <w:p>
            <w:pPr>
              <w:spacing w:before="280" w:line="219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PCR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DNA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检测系统</w:t>
            </w:r>
          </w:p>
        </w:tc>
        <w:tc>
          <w:tcPr>
            <w:tcW w:w="709" w:type="dxa"/>
            <w:vAlign w:val="top"/>
          </w:tcPr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26" w:type="dxa"/>
            <w:vAlign w:val="top"/>
          </w:tcPr>
          <w:p>
            <w:pPr>
              <w:spacing w:before="126" w:line="238" w:lineRule="auto"/>
              <w:ind w:left="23" w:right="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PCR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DNA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检测系统得3分,未配置不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得分。</w:t>
            </w:r>
          </w:p>
        </w:tc>
        <w:tc>
          <w:tcPr>
            <w:tcW w:w="679" w:type="dxa"/>
            <w:vAlign w:val="top"/>
          </w:tcPr>
          <w:p>
            <w:pPr>
              <w:spacing w:before="171" w:line="589" w:lineRule="exact"/>
              <w:ind w:firstLine="57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654" w:type="dxa"/>
            <w:vAlign w:val="top"/>
          </w:tcPr>
          <w:p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8" w:type="dxa"/>
            <w:vAlign w:val="top"/>
          </w:tcPr>
          <w:p>
            <w:pPr>
              <w:spacing w:line="3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1" w:lineRule="auto"/>
              <w:ind w:left="30" w:right="1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植物类33种禁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用农药检测</w:t>
            </w:r>
          </w:p>
        </w:tc>
        <w:tc>
          <w:tcPr>
            <w:tcW w:w="709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26" w:type="dxa"/>
            <w:vAlign w:val="top"/>
          </w:tcPr>
          <w:p>
            <w:pPr>
              <w:spacing w:before="181" w:line="228" w:lineRule="auto"/>
              <w:ind w:left="23" w:right="2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植物类33种禁用农药检测，每配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置1套高效液相串联质谱仪得1.5分，每配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置1套气相色谱串联质谱仪得1.5分，最多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得6分。</w:t>
            </w:r>
          </w:p>
        </w:tc>
        <w:tc>
          <w:tcPr>
            <w:tcW w:w="679" w:type="dxa"/>
            <w:vAlign w:val="top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690" w:lineRule="exact"/>
              <w:ind w:firstLine="57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9" w:hRule="atLeast"/>
        </w:trPr>
        <w:tc>
          <w:tcPr>
            <w:tcW w:w="654" w:type="dxa"/>
            <w:vAlign w:val="top"/>
          </w:tcPr>
          <w:p>
            <w:pPr>
              <w:spacing w:line="31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8" w:type="dxa"/>
            <w:vAlign w:val="top"/>
          </w:tcPr>
          <w:p>
            <w:pPr>
              <w:spacing w:line="29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2" w:lineRule="auto"/>
              <w:ind w:left="30" w:right="16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重金属限量检测及人参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、西洋参高锰酸盐限量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检测</w:t>
            </w:r>
          </w:p>
        </w:tc>
        <w:tc>
          <w:tcPr>
            <w:tcW w:w="709" w:type="dxa"/>
            <w:vAlign w:val="top"/>
          </w:tcPr>
          <w:p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26" w:type="dxa"/>
            <w:vAlign w:val="top"/>
          </w:tcPr>
          <w:p>
            <w:pPr>
              <w:spacing w:before="224" w:line="235" w:lineRule="auto"/>
              <w:ind w:left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重金属限量检测及人参、西洋参高锰酸盐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限量检测，配有原子吸收分光光度计得2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>分，配有电感耦合等离子质谱仪(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ICP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MS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)得3分，未配备不得分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79" w:type="dxa"/>
            <w:vAlign w:val="top"/>
          </w:tcPr>
          <w:p>
            <w:pPr>
              <w:spacing w:line="41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610" w:lineRule="exact"/>
              <w:ind w:firstLine="10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654" w:type="dxa"/>
            <w:vAlign w:val="top"/>
          </w:tcPr>
          <w:p>
            <w:pPr>
              <w:spacing w:before="314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spacing w:before="253" w:line="219" w:lineRule="auto"/>
              <w:ind w:left="3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配备红外分光光度计</w:t>
            </w:r>
          </w:p>
        </w:tc>
        <w:tc>
          <w:tcPr>
            <w:tcW w:w="709" w:type="dxa"/>
            <w:vAlign w:val="top"/>
          </w:tcPr>
          <w:p>
            <w:pPr>
              <w:spacing w:before="315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26" w:type="dxa"/>
            <w:vAlign w:val="top"/>
          </w:tcPr>
          <w:p>
            <w:pPr>
              <w:spacing w:before="123" w:line="225" w:lineRule="auto"/>
              <w:ind w:left="23" w:right="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配有红外分光光度计得2分，未配备不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得分。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1" w:hRule="atLeast"/>
        </w:trPr>
        <w:tc>
          <w:tcPr>
            <w:tcW w:w="654" w:type="dxa"/>
            <w:vAlign w:val="top"/>
          </w:tcPr>
          <w:p>
            <w:pPr>
              <w:spacing w:line="36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8" w:type="dxa"/>
            <w:vAlign w:val="top"/>
          </w:tcPr>
          <w:p>
            <w:pPr>
              <w:spacing w:line="305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3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微生物限度检测</w:t>
            </w:r>
          </w:p>
        </w:tc>
        <w:tc>
          <w:tcPr>
            <w:tcW w:w="709" w:type="dxa"/>
            <w:vAlign w:val="top"/>
          </w:tcPr>
          <w:p>
            <w:pPr>
              <w:spacing w:line="3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6" w:type="dxa"/>
            <w:vAlign w:val="top"/>
          </w:tcPr>
          <w:p>
            <w:pPr>
              <w:spacing w:before="244" w:line="225" w:lineRule="auto"/>
              <w:ind w:left="23" w:right="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配有微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生物限度检测实验室得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分，能开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展微生物检验得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分。</w:t>
            </w:r>
          </w:p>
        </w:tc>
        <w:tc>
          <w:tcPr>
            <w:tcW w:w="679" w:type="dxa"/>
            <w:vAlign w:val="top"/>
          </w:tcPr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40" w:lineRule="exact"/>
              <w:ind w:firstLine="7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54" w:type="dxa"/>
            <w:vAlign w:val="top"/>
          </w:tcPr>
          <w:p>
            <w:pPr>
              <w:spacing w:line="41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8" w:type="dxa"/>
            <w:vAlign w:val="top"/>
          </w:tcPr>
          <w:p>
            <w:pPr>
              <w:spacing w:before="78" w:line="240" w:lineRule="auto"/>
              <w:jc w:val="left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三级以上医院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销售业绩</w:t>
            </w:r>
          </w:p>
        </w:tc>
        <w:tc>
          <w:tcPr>
            <w:tcW w:w="709" w:type="dxa"/>
            <w:vAlign w:val="top"/>
          </w:tcPr>
          <w:p>
            <w:pPr>
              <w:spacing w:line="41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26" w:type="dxa"/>
            <w:vAlign w:val="top"/>
          </w:tcPr>
          <w:p>
            <w:pPr>
              <w:spacing w:before="133" w:line="225" w:lineRule="auto"/>
              <w:ind w:left="23" w:right="18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供应企业以销售合同或发票、回款复印件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为凭据。达到3家得1分,每增加1家加1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分，最多3分。</w:t>
            </w:r>
          </w:p>
        </w:tc>
        <w:tc>
          <w:tcPr>
            <w:tcW w:w="679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700" w:lineRule="exact"/>
              <w:ind w:firstLine="7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原件备查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</w:trPr>
        <w:tc>
          <w:tcPr>
            <w:tcW w:w="654" w:type="dxa"/>
            <w:vAlign w:val="top"/>
          </w:tcPr>
          <w:p>
            <w:pPr>
              <w:spacing w:line="30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18" w:type="dxa"/>
            <w:vAlign w:val="top"/>
          </w:tcPr>
          <w:p>
            <w:pPr>
              <w:spacing w:before="78" w:line="240" w:lineRule="auto"/>
              <w:ind w:left="30"/>
              <w:jc w:val="left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供应企业提供的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配送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服 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709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ind w:left="2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4526" w:type="dxa"/>
            <w:vAlign w:val="top"/>
          </w:tcPr>
          <w:p>
            <w:pPr>
              <w:spacing w:before="176" w:line="229" w:lineRule="auto"/>
              <w:ind w:left="23" w:right="58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配送时间承诺：24-48小时内配送到位得7分，超过48小时酌情扣分；</w:t>
            </w:r>
          </w:p>
          <w:p>
            <w:pPr>
              <w:spacing w:before="176" w:line="229" w:lineRule="auto"/>
              <w:ind w:left="23" w:right="58"/>
              <w:rPr>
                <w:rFonts w:hint="default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急需药品配送承诺：临床急需药品承诺5小时内配送到位得3分，否则不得分。</w:t>
            </w:r>
          </w:p>
        </w:tc>
        <w:tc>
          <w:tcPr>
            <w:tcW w:w="679" w:type="dxa"/>
            <w:vAlign w:val="top"/>
          </w:tcPr>
          <w:p>
            <w:pPr>
              <w:spacing w:before="156" w:line="691" w:lineRule="exact"/>
              <w:ind w:firstLine="57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54" w:type="dxa"/>
            <w:vAlign w:val="top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618" w:type="dxa"/>
            <w:vAlign w:val="top"/>
          </w:tcPr>
          <w:p>
            <w:pPr>
              <w:spacing w:line="46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文件规范性</w:t>
            </w:r>
          </w:p>
        </w:tc>
        <w:tc>
          <w:tcPr>
            <w:tcW w:w="709" w:type="dxa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526" w:type="dxa"/>
            <w:vAlign w:val="top"/>
          </w:tcPr>
          <w:p>
            <w:pPr>
              <w:spacing w:before="246" w:line="230" w:lineRule="auto"/>
              <w:ind w:left="23" w:right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必须按文件制作规范，没有细微偏差情形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的得1分，有细微偏差每项扣0.2分，直至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该项分值扣完为止。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tabs>
          <w:tab w:val="center" w:pos="5235"/>
        </w:tabs>
        <w:bidi w:val="0"/>
        <w:jc w:val="left"/>
        <w:rPr>
          <w:rFonts w:hint="eastAsia" w:eastAsia="宋体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eastAsia="zh-CN"/>
        </w:rPr>
        <w:tab/>
      </w: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 xml:space="preserve"> 得分合计：</w:t>
      </w:r>
    </w:p>
    <w:p>
      <w:pPr>
        <w:tabs>
          <w:tab w:val="center" w:pos="5235"/>
        </w:tabs>
        <w:bidi w:val="0"/>
        <w:jc w:val="left"/>
        <w:rPr>
          <w:rFonts w:hint="eastAsia" w:eastAsia="宋体" w:cs="Arial"/>
          <w:snapToGrid w:val="0"/>
          <w:color w:val="000000"/>
          <w:kern w:val="0"/>
          <w:sz w:val="28"/>
          <w:szCs w:val="28"/>
          <w:lang w:val="en-US" w:eastAsia="zh-CN"/>
        </w:rPr>
      </w:pPr>
    </w:p>
    <w:p>
      <w:pPr>
        <w:spacing w:before="107" w:line="219" w:lineRule="auto"/>
        <w:ind w:left="34"/>
        <w:rPr>
          <w:rFonts w:hint="default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sectPr>
          <w:footerReference r:id="rId5" w:type="default"/>
          <w:pgSz w:w="11910" w:h="16850"/>
          <w:pgMar w:top="720" w:right="720" w:bottom="720" w:left="720" w:header="0" w:footer="425" w:gutter="0"/>
          <w:cols w:space="720" w:num="1"/>
        </w:sectPr>
      </w:pPr>
      <w:r>
        <w:rPr>
          <w:rFonts w:ascii="宋体" w:hAnsi="宋体" w:eastAsia="宋体" w:cs="宋体"/>
          <w:spacing w:val="-16"/>
          <w:sz w:val="28"/>
          <w:szCs w:val="28"/>
        </w:rPr>
        <w:t>评分人签字：</w:t>
      </w:r>
    </w:p>
    <w:p>
      <w:pPr>
        <w:spacing w:line="314" w:lineRule="auto"/>
        <w:rPr>
          <w:rFonts w:ascii="Arial"/>
          <w:sz w:val="30"/>
          <w:szCs w:val="30"/>
        </w:rPr>
      </w:pPr>
    </w:p>
    <w:sectPr>
      <w:footerReference r:id="rId6" w:type="default"/>
      <w:pgSz w:w="12140" w:h="17010"/>
      <w:pgMar w:top="1325" w:right="704" w:bottom="1200" w:left="795" w:header="0" w:footer="9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42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15"/>
        <w:sz w:val="24"/>
        <w:szCs w:val="24"/>
      </w:rPr>
      <w:t>第</w:t>
    </w:r>
    <w:r>
      <w:rPr>
        <w:rFonts w:ascii="宋体" w:hAnsi="宋体" w:eastAsia="宋体" w:cs="宋体"/>
        <w:spacing w:val="33"/>
        <w:sz w:val="24"/>
        <w:szCs w:val="24"/>
      </w:rPr>
      <w:t xml:space="preserve"> </w:t>
    </w:r>
    <w:r>
      <w:rPr>
        <w:rFonts w:ascii="宋体" w:hAnsi="宋体" w:eastAsia="宋体" w:cs="宋体"/>
        <w:spacing w:val="15"/>
        <w:sz w:val="24"/>
        <w:szCs w:val="24"/>
      </w:rPr>
      <w:t>1</w:t>
    </w:r>
    <w:r>
      <w:rPr>
        <w:rFonts w:ascii="宋体" w:hAnsi="宋体" w:eastAsia="宋体" w:cs="宋体"/>
        <w:spacing w:val="-25"/>
        <w:sz w:val="24"/>
        <w:szCs w:val="24"/>
      </w:rPr>
      <w:t xml:space="preserve"> </w:t>
    </w:r>
    <w:r>
      <w:rPr>
        <w:rFonts w:ascii="宋体" w:hAnsi="宋体" w:eastAsia="宋体" w:cs="宋体"/>
        <w:spacing w:val="15"/>
        <w:sz w:val="24"/>
        <w:szCs w:val="24"/>
      </w:rPr>
      <w:t>页，共</w:t>
    </w:r>
    <w:r>
      <w:rPr>
        <w:rFonts w:hint="eastAsia" w:ascii="宋体" w:hAnsi="宋体" w:eastAsia="宋体" w:cs="宋体"/>
        <w:spacing w:val="15"/>
        <w:sz w:val="24"/>
        <w:szCs w:val="24"/>
        <w:lang w:val="en-US" w:eastAsia="zh-CN"/>
      </w:rPr>
      <w:t xml:space="preserve"> </w:t>
    </w:r>
    <w:r>
      <w:rPr>
        <w:rFonts w:ascii="宋体" w:hAnsi="宋体" w:eastAsia="宋体" w:cs="宋体"/>
        <w:spacing w:val="15"/>
        <w:sz w:val="24"/>
        <w:szCs w:val="24"/>
      </w:rPr>
      <w:t>2</w:t>
    </w:r>
    <w:r>
      <w:rPr>
        <w:rFonts w:hint="eastAsia" w:ascii="宋体" w:hAnsi="宋体" w:eastAsia="宋体" w:cs="宋体"/>
        <w:spacing w:val="15"/>
        <w:sz w:val="24"/>
        <w:szCs w:val="24"/>
        <w:lang w:val="en-US" w:eastAsia="zh-CN"/>
      </w:rPr>
      <w:t xml:space="preserve"> </w:t>
    </w:r>
    <w:r>
      <w:rPr>
        <w:rFonts w:ascii="宋体" w:hAnsi="宋体" w:eastAsia="宋体" w:cs="宋体"/>
        <w:spacing w:val="15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429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11"/>
        <w:sz w:val="25"/>
        <w:szCs w:val="25"/>
      </w:rPr>
      <w:t>第</w:t>
    </w:r>
    <w:r>
      <w:rPr>
        <w:rFonts w:ascii="宋体" w:hAnsi="宋体" w:eastAsia="宋体" w:cs="宋体"/>
        <w:spacing w:val="17"/>
        <w:sz w:val="25"/>
        <w:szCs w:val="25"/>
      </w:rPr>
      <w:t xml:space="preserve"> </w:t>
    </w:r>
    <w:r>
      <w:rPr>
        <w:rFonts w:ascii="宋体" w:hAnsi="宋体" w:eastAsia="宋体" w:cs="宋体"/>
        <w:spacing w:val="11"/>
        <w:sz w:val="25"/>
        <w:szCs w:val="25"/>
      </w:rPr>
      <w:t>2</w:t>
    </w:r>
    <w:r>
      <w:rPr>
        <w:rFonts w:ascii="宋体" w:hAnsi="宋体" w:eastAsia="宋体" w:cs="宋体"/>
        <w:sz w:val="25"/>
        <w:szCs w:val="25"/>
      </w:rPr>
      <w:t xml:space="preserve"> </w:t>
    </w:r>
    <w:r>
      <w:rPr>
        <w:rFonts w:ascii="宋体" w:hAnsi="宋体" w:eastAsia="宋体" w:cs="宋体"/>
        <w:spacing w:val="11"/>
        <w:sz w:val="25"/>
        <w:szCs w:val="25"/>
      </w:rPr>
      <w:t>页，共</w:t>
    </w:r>
    <w:r>
      <w:rPr>
        <w:rFonts w:hint="eastAsia" w:ascii="宋体" w:hAnsi="宋体" w:eastAsia="宋体" w:cs="宋体"/>
        <w:spacing w:val="11"/>
        <w:sz w:val="25"/>
        <w:szCs w:val="25"/>
        <w:lang w:val="en-US" w:eastAsia="zh-CN"/>
      </w:rPr>
      <w:t xml:space="preserve"> </w:t>
    </w:r>
    <w:r>
      <w:rPr>
        <w:rFonts w:ascii="宋体" w:hAnsi="宋体" w:eastAsia="宋体" w:cs="宋体"/>
        <w:spacing w:val="11"/>
        <w:sz w:val="25"/>
        <w:szCs w:val="25"/>
      </w:rPr>
      <w:t>2</w:t>
    </w:r>
    <w:r>
      <w:rPr>
        <w:rFonts w:ascii="宋体" w:hAnsi="宋体" w:eastAsia="宋体" w:cs="宋体"/>
        <w:spacing w:val="-31"/>
        <w:sz w:val="25"/>
        <w:szCs w:val="25"/>
      </w:rPr>
      <w:t xml:space="preserve"> </w:t>
    </w:r>
    <w:r>
      <w:rPr>
        <w:rFonts w:ascii="宋体" w:hAnsi="宋体" w:eastAsia="宋体" w:cs="宋体"/>
        <w:spacing w:val="11"/>
        <w:sz w:val="25"/>
        <w:szCs w:val="2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RjODQwZTM1MTRmMmYwNDg3YmYwNTE0MmFkYWM4YzcifQ=="/>
  </w:docVars>
  <w:rsids>
    <w:rsidRoot w:val="00000000"/>
    <w:rsid w:val="02A91D81"/>
    <w:rsid w:val="0A9F4195"/>
    <w:rsid w:val="1C3125E6"/>
    <w:rsid w:val="226338A3"/>
    <w:rsid w:val="23A33690"/>
    <w:rsid w:val="2B9B0018"/>
    <w:rsid w:val="2BD666D1"/>
    <w:rsid w:val="33777038"/>
    <w:rsid w:val="35492DCC"/>
    <w:rsid w:val="37E62046"/>
    <w:rsid w:val="381E303A"/>
    <w:rsid w:val="3C437505"/>
    <w:rsid w:val="3EA1766C"/>
    <w:rsid w:val="40935E31"/>
    <w:rsid w:val="55C46C84"/>
    <w:rsid w:val="59F2732D"/>
    <w:rsid w:val="60AC464A"/>
    <w:rsid w:val="672E21EE"/>
    <w:rsid w:val="6ACD70D8"/>
    <w:rsid w:val="6BD7318B"/>
    <w:rsid w:val="71E13CFC"/>
    <w:rsid w:val="7A6853B6"/>
    <w:rsid w:val="7BAD4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1357</Words>
  <Characters>1485</Characters>
  <TotalTime>42</TotalTime>
  <ScaleCrop>false</ScaleCrop>
  <LinksUpToDate>false</LinksUpToDate>
  <CharactersWithSpaces>1558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2023-08-02T15:24:00Z</dcterms:created>
  <dc:creator>Kingsoft-PDF</dc:creator>
  <cp:lastModifiedBy>DELL</cp:lastModifiedBy>
  <cp:lastPrinted>2023-08-02T08:41:00Z</cp:lastPrinted>
  <dcterms:modified xsi:type="dcterms:W3CDTF">2023-08-02T10:15:29Z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2023-08-02T15:24:16Z</vt:filetime>
  </property>
  <property fmtid="{D5CDD505-2E9C-101B-9397-08002B2CF9AE}" pid="4" name="UsrData">
    <vt:lpwstr>64ca049251f827001fc49a56</vt:lpwstr>
  </property>
  <property fmtid="{D5CDD505-2E9C-101B-9397-08002B2CF9AE}" pid="5" name="KSOProductBuildVer">
    <vt:lpwstr>2052-11.1.0.14309</vt:lpwstr>
  </property>
  <property fmtid="{D5CDD505-2E9C-101B-9397-08002B2CF9AE}" pid="6" name="ICV">
    <vt:lpwstr>B0DEDAE33AA14F86A591E507AA7B2EB0_13</vt:lpwstr>
  </property>
</Properties>
</file>