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lang w:val="en-US" w:eastAsia="zh-CN"/>
        </w:rPr>
      </w:pPr>
      <w:bookmarkStart w:id="0" w:name="_Toc12069"/>
    </w:p>
    <w:p>
      <w:pPr>
        <w:spacing w:line="30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巴中市中医院</w:t>
      </w:r>
    </w:p>
    <w:p>
      <w:pPr>
        <w:spacing w:line="30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新冠病毒核酸快速检测仪紧急采购项目</w:t>
      </w:r>
    </w:p>
    <w:p>
      <w:pPr>
        <w:spacing w:line="300" w:lineRule="auto"/>
        <w:jc w:val="center"/>
        <w:rPr>
          <w:rFonts w:ascii="黑体" w:hAnsi="新宋体" w:eastAsia="黑体"/>
          <w:b/>
          <w:sz w:val="52"/>
          <w:szCs w:val="52"/>
        </w:rPr>
      </w:pPr>
      <w:r>
        <w:rPr>
          <w:rFonts w:hint="eastAsia" w:ascii="黑体" w:hAnsi="新宋体" w:eastAsia="黑体"/>
          <w:b/>
          <w:sz w:val="52"/>
          <w:szCs w:val="52"/>
        </w:rPr>
        <w:t xml:space="preserve">             </w:t>
      </w:r>
    </w:p>
    <w:p>
      <w:pPr>
        <w:spacing w:line="300" w:lineRule="auto"/>
        <w:jc w:val="center"/>
        <w:rPr>
          <w:rFonts w:ascii="黑体" w:hAnsi="新宋体" w:eastAsia="黑体"/>
          <w:b/>
          <w:sz w:val="52"/>
          <w:szCs w:val="52"/>
        </w:rPr>
      </w:pPr>
    </w:p>
    <w:p>
      <w:pPr>
        <w:spacing w:line="300" w:lineRule="auto"/>
        <w:jc w:val="center"/>
        <w:rPr>
          <w:rFonts w:ascii="黑体" w:hAnsi="黑体" w:eastAsia="黑体" w:cs="黑体"/>
          <w:b/>
          <w:sz w:val="52"/>
          <w:szCs w:val="52"/>
        </w:rPr>
      </w:pPr>
      <w:r>
        <w:rPr>
          <w:rFonts w:hint="eastAsia" w:ascii="黑体" w:hAnsi="黑体" w:eastAsia="黑体" w:cs="黑体"/>
          <w:b/>
          <w:sz w:val="52"/>
          <w:szCs w:val="52"/>
        </w:rPr>
        <w:t>比</w:t>
      </w:r>
    </w:p>
    <w:p>
      <w:pPr>
        <w:spacing w:line="300" w:lineRule="auto"/>
        <w:jc w:val="center"/>
        <w:rPr>
          <w:rFonts w:ascii="黑体" w:hAnsi="黑体" w:eastAsia="黑体" w:cs="黑体"/>
          <w:b/>
          <w:sz w:val="52"/>
          <w:szCs w:val="52"/>
        </w:rPr>
      </w:pPr>
    </w:p>
    <w:p>
      <w:pPr>
        <w:spacing w:line="300" w:lineRule="auto"/>
        <w:jc w:val="center"/>
        <w:rPr>
          <w:rFonts w:ascii="黑体" w:hAnsi="黑体" w:eastAsia="黑体" w:cs="黑体"/>
          <w:b/>
          <w:sz w:val="52"/>
          <w:szCs w:val="52"/>
        </w:rPr>
      </w:pPr>
      <w:r>
        <w:rPr>
          <w:rFonts w:hint="eastAsia" w:ascii="黑体" w:hAnsi="黑体" w:eastAsia="黑体" w:cs="黑体"/>
          <w:b/>
          <w:sz w:val="52"/>
          <w:szCs w:val="52"/>
        </w:rPr>
        <w:t>选</w:t>
      </w:r>
    </w:p>
    <w:p>
      <w:pPr>
        <w:spacing w:line="300" w:lineRule="auto"/>
        <w:jc w:val="center"/>
        <w:rPr>
          <w:rFonts w:ascii="黑体" w:hAnsi="黑体" w:eastAsia="黑体" w:cs="黑体"/>
          <w:b/>
          <w:sz w:val="52"/>
          <w:szCs w:val="52"/>
        </w:rPr>
      </w:pPr>
    </w:p>
    <w:p>
      <w:pPr>
        <w:spacing w:line="300" w:lineRule="auto"/>
        <w:jc w:val="center"/>
        <w:rPr>
          <w:rFonts w:ascii="黑体" w:hAnsi="黑体" w:eastAsia="黑体" w:cs="黑体"/>
          <w:b/>
          <w:sz w:val="52"/>
          <w:szCs w:val="52"/>
        </w:rPr>
      </w:pPr>
      <w:r>
        <w:rPr>
          <w:rFonts w:hint="eastAsia" w:ascii="黑体" w:hAnsi="黑体" w:eastAsia="黑体" w:cs="黑体"/>
          <w:b/>
          <w:sz w:val="52"/>
          <w:szCs w:val="52"/>
        </w:rPr>
        <w:t>文</w:t>
      </w:r>
    </w:p>
    <w:p>
      <w:pPr>
        <w:spacing w:line="300" w:lineRule="auto"/>
        <w:jc w:val="center"/>
        <w:rPr>
          <w:rFonts w:ascii="黑体" w:hAnsi="黑体" w:eastAsia="黑体" w:cs="黑体"/>
          <w:b/>
          <w:sz w:val="52"/>
          <w:szCs w:val="52"/>
        </w:rPr>
      </w:pPr>
    </w:p>
    <w:p>
      <w:pPr>
        <w:spacing w:line="300" w:lineRule="auto"/>
        <w:jc w:val="center"/>
        <w:rPr>
          <w:rFonts w:ascii="黑体" w:hAnsi="黑体" w:eastAsia="黑体" w:cs="黑体"/>
          <w:b/>
          <w:sz w:val="52"/>
          <w:szCs w:val="52"/>
        </w:rPr>
      </w:pPr>
      <w:r>
        <w:rPr>
          <w:rFonts w:hint="eastAsia" w:ascii="黑体" w:hAnsi="黑体" w:eastAsia="黑体" w:cs="黑体"/>
          <w:b/>
          <w:sz w:val="52"/>
          <w:szCs w:val="52"/>
        </w:rPr>
        <w:t>件</w:t>
      </w:r>
    </w:p>
    <w:p>
      <w:pPr>
        <w:spacing w:line="300" w:lineRule="auto"/>
        <w:jc w:val="center"/>
        <w:rPr>
          <w:b/>
          <w:sz w:val="32"/>
          <w:szCs w:val="32"/>
        </w:rPr>
      </w:pPr>
    </w:p>
    <w:p>
      <w:pPr>
        <w:spacing w:line="300" w:lineRule="auto"/>
        <w:jc w:val="center"/>
        <w:rPr>
          <w:b/>
          <w:sz w:val="32"/>
          <w:szCs w:val="32"/>
        </w:rPr>
      </w:pPr>
      <w:r>
        <w:rPr>
          <w:rFonts w:hint="eastAsia"/>
          <w:b/>
          <w:sz w:val="32"/>
          <w:szCs w:val="32"/>
        </w:rPr>
        <w:t xml:space="preserve">  中国·四川（巴中）</w:t>
      </w:r>
    </w:p>
    <w:p>
      <w:pPr>
        <w:spacing w:line="300" w:lineRule="auto"/>
        <w:jc w:val="center"/>
        <w:rPr>
          <w:b/>
          <w:sz w:val="32"/>
          <w:szCs w:val="32"/>
        </w:rPr>
      </w:pPr>
      <w:r>
        <w:rPr>
          <w:rFonts w:hint="eastAsia"/>
          <w:b/>
          <w:sz w:val="32"/>
          <w:szCs w:val="32"/>
          <w:lang w:eastAsia="zh-CN"/>
        </w:rPr>
        <w:t>巴中市中医院</w:t>
      </w:r>
      <w:r>
        <w:rPr>
          <w:rFonts w:hint="eastAsia"/>
          <w:b/>
          <w:sz w:val="32"/>
          <w:szCs w:val="32"/>
        </w:rPr>
        <w:t>印制</w:t>
      </w:r>
    </w:p>
    <w:p>
      <w:pPr>
        <w:pStyle w:val="8"/>
        <w:spacing w:before="0" w:after="0" w:line="360" w:lineRule="auto"/>
        <w:jc w:val="center"/>
        <w:rPr>
          <w:rFonts w:ascii="宋体" w:hAnsi="宋体" w:eastAsia="宋体" w:cs="宋体"/>
          <w:bCs w:val="0"/>
          <w:sz w:val="48"/>
          <w:szCs w:val="48"/>
        </w:rPr>
        <w:sectPr>
          <w:headerReference r:id="rId4" w:type="first"/>
          <w:headerReference r:id="rId3" w:type="even"/>
          <w:pgSz w:w="11907" w:h="16840"/>
          <w:pgMar w:top="1134" w:right="1134" w:bottom="851" w:left="1418" w:header="851" w:footer="992" w:gutter="0"/>
          <w:cols w:space="720" w:num="1"/>
          <w:titlePg/>
          <w:docGrid w:linePitch="312" w:charSpace="0"/>
        </w:sectPr>
      </w:pPr>
      <w:r>
        <w:rPr>
          <w:rFonts w:hint="eastAsia" w:eastAsia="宋体"/>
          <w:sz w:val="32"/>
          <w:szCs w:val="32"/>
        </w:rPr>
        <w:t>202</w:t>
      </w:r>
      <w:r>
        <w:rPr>
          <w:rFonts w:hint="eastAsia" w:eastAsia="宋体"/>
          <w:sz w:val="32"/>
          <w:szCs w:val="32"/>
          <w:lang w:val="en-US" w:eastAsia="zh-CN"/>
        </w:rPr>
        <w:t>2</w:t>
      </w:r>
      <w:r>
        <w:rPr>
          <w:rFonts w:hint="eastAsia" w:eastAsia="宋体"/>
          <w:sz w:val="32"/>
          <w:szCs w:val="32"/>
        </w:rPr>
        <w:t>年</w:t>
      </w:r>
      <w:r>
        <w:rPr>
          <w:rFonts w:hint="eastAsia" w:eastAsia="宋体"/>
          <w:sz w:val="32"/>
          <w:szCs w:val="32"/>
          <w:lang w:val="en-US" w:eastAsia="zh-CN"/>
        </w:rPr>
        <w:t>9</w:t>
      </w:r>
      <w:r>
        <w:rPr>
          <w:rFonts w:hint="eastAsia" w:eastAsia="宋体"/>
          <w:sz w:val="32"/>
          <w:szCs w:val="32"/>
        </w:rPr>
        <w:t>月</w:t>
      </w:r>
      <w:r>
        <w:rPr>
          <w:rFonts w:hint="eastAsia" w:eastAsia="宋体"/>
          <w:sz w:val="32"/>
          <w:szCs w:val="32"/>
          <w:lang w:val="en-US" w:eastAsia="zh-CN"/>
        </w:rPr>
        <w:t>1</w:t>
      </w:r>
      <w:r>
        <w:rPr>
          <w:rFonts w:hint="eastAsia" w:eastAsia="宋体"/>
          <w:sz w:val="32"/>
          <w:szCs w:val="32"/>
        </w:rPr>
        <w:t>日</w:t>
      </w:r>
    </w:p>
    <w:p>
      <w:pPr>
        <w:pStyle w:val="8"/>
        <w:spacing w:before="0" w:after="0" w:line="360" w:lineRule="auto"/>
        <w:jc w:val="center"/>
        <w:rPr>
          <w:rFonts w:ascii="宋体" w:hAnsi="宋体" w:eastAsia="宋体" w:cs="宋体"/>
          <w:bCs w:val="0"/>
          <w:sz w:val="48"/>
          <w:szCs w:val="48"/>
        </w:rPr>
      </w:pPr>
    </w:p>
    <w:p>
      <w:pPr>
        <w:pStyle w:val="8"/>
        <w:spacing w:before="0" w:after="0" w:line="360" w:lineRule="auto"/>
        <w:jc w:val="center"/>
        <w:rPr>
          <w:rFonts w:ascii="宋体" w:hAnsi="宋体" w:eastAsia="宋体" w:cs="宋体"/>
          <w:b w:val="0"/>
          <w:bCs w:val="0"/>
          <w:sz w:val="48"/>
          <w:szCs w:val="48"/>
        </w:rPr>
      </w:pPr>
      <w:r>
        <w:rPr>
          <w:rFonts w:hint="eastAsia" w:ascii="宋体" w:hAnsi="宋体" w:eastAsia="宋体" w:cs="宋体"/>
          <w:bCs w:val="0"/>
          <w:sz w:val="48"/>
          <w:szCs w:val="48"/>
        </w:rPr>
        <w:t>目    录</w:t>
      </w:r>
      <w:bookmarkEnd w:id="0"/>
      <w:r>
        <w:rPr>
          <w:rFonts w:hint="eastAsia" w:ascii="宋体" w:hAnsi="宋体" w:eastAsia="宋体" w:cs="宋体"/>
          <w:b w:val="0"/>
          <w:bCs w:val="0"/>
          <w:sz w:val="48"/>
          <w:szCs w:val="48"/>
        </w:rPr>
        <w:t xml:space="preserve">    </w:t>
      </w:r>
    </w:p>
    <w:p>
      <w:pPr>
        <w:spacing w:line="360" w:lineRule="auto"/>
        <w:rPr>
          <w:rFonts w:hAnsi="宋体"/>
        </w:rPr>
      </w:pPr>
    </w:p>
    <w:p>
      <w:pPr>
        <w:spacing w:line="360" w:lineRule="auto"/>
        <w:rPr>
          <w:rFonts w:hAnsi="宋体"/>
        </w:rPr>
      </w:pPr>
    </w:p>
    <w:p>
      <w:pPr>
        <w:pStyle w:val="17"/>
        <w:tabs>
          <w:tab w:val="right" w:leader="dot" w:pos="9355"/>
        </w:tabs>
      </w:pPr>
      <w:r>
        <w:rPr>
          <w:rFonts w:hint="eastAsia"/>
        </w:rPr>
        <w:fldChar w:fldCharType="begin"/>
      </w:r>
      <w:r>
        <w:rPr>
          <w:rFonts w:hint="eastAsia"/>
        </w:rPr>
        <w:instrText xml:space="preserve">TOC \o "1-1" \h \u </w:instrText>
      </w:r>
      <w:r>
        <w:rPr>
          <w:rFonts w:hint="eastAsia"/>
        </w:rPr>
        <w:fldChar w:fldCharType="separate"/>
      </w:r>
      <w:r>
        <w:fldChar w:fldCharType="begin"/>
      </w:r>
      <w:r>
        <w:instrText xml:space="preserve"> HYPERLINK \l "_Toc11708" </w:instrText>
      </w:r>
      <w:r>
        <w:fldChar w:fldCharType="separate"/>
      </w:r>
      <w:r>
        <w:rPr>
          <w:rFonts w:hint="eastAsia"/>
        </w:rPr>
        <w:t>第一章  比选邀请</w:t>
      </w:r>
      <w:r>
        <w:tab/>
      </w:r>
      <w:r>
        <w:fldChar w:fldCharType="begin"/>
      </w:r>
      <w:r>
        <w:instrText xml:space="preserve"> PAGEREF _Toc11708 </w:instrText>
      </w:r>
      <w:r>
        <w:fldChar w:fldCharType="separate"/>
      </w:r>
      <w:r>
        <w:t>1</w:t>
      </w:r>
      <w:r>
        <w:fldChar w:fldCharType="end"/>
      </w:r>
      <w:r>
        <w:fldChar w:fldCharType="end"/>
      </w:r>
    </w:p>
    <w:p>
      <w:pPr>
        <w:pStyle w:val="17"/>
        <w:tabs>
          <w:tab w:val="right" w:leader="dot" w:pos="9355"/>
        </w:tabs>
      </w:pPr>
      <w:r>
        <w:fldChar w:fldCharType="begin"/>
      </w:r>
      <w:r>
        <w:instrText xml:space="preserve"> HYPERLINK \l "_Toc9677" </w:instrText>
      </w:r>
      <w:r>
        <w:fldChar w:fldCharType="separate"/>
      </w:r>
      <w:r>
        <w:rPr>
          <w:rFonts w:hint="eastAsia"/>
        </w:rPr>
        <w:t>第二章  比选须知</w:t>
      </w:r>
      <w:r>
        <w:tab/>
      </w:r>
      <w:r>
        <w:fldChar w:fldCharType="begin"/>
      </w:r>
      <w:r>
        <w:instrText xml:space="preserve"> PAGEREF _Toc9677 </w:instrText>
      </w:r>
      <w:r>
        <w:fldChar w:fldCharType="separate"/>
      </w:r>
      <w:r>
        <w:t>2</w:t>
      </w:r>
      <w:r>
        <w:fldChar w:fldCharType="end"/>
      </w:r>
      <w:r>
        <w:fldChar w:fldCharType="end"/>
      </w:r>
    </w:p>
    <w:p>
      <w:pPr>
        <w:pStyle w:val="17"/>
        <w:tabs>
          <w:tab w:val="right" w:leader="dot" w:pos="9355"/>
        </w:tabs>
      </w:pPr>
      <w:r>
        <w:fldChar w:fldCharType="begin"/>
      </w:r>
      <w:r>
        <w:instrText xml:space="preserve"> HYPERLINK \l "_Toc6953" </w:instrText>
      </w:r>
      <w:r>
        <w:fldChar w:fldCharType="separate"/>
      </w:r>
      <w:r>
        <w:rPr>
          <w:rFonts w:hint="eastAsia"/>
        </w:rPr>
        <w:t>第三章 比选响应文件格式</w:t>
      </w:r>
      <w:r>
        <w:tab/>
      </w:r>
      <w:r>
        <w:fldChar w:fldCharType="begin"/>
      </w:r>
      <w:r>
        <w:instrText xml:space="preserve"> PAGEREF _Toc6953 </w:instrText>
      </w:r>
      <w:r>
        <w:fldChar w:fldCharType="separate"/>
      </w:r>
      <w:r>
        <w:t>7</w:t>
      </w:r>
      <w:r>
        <w:fldChar w:fldCharType="end"/>
      </w:r>
      <w:r>
        <w:fldChar w:fldCharType="end"/>
      </w:r>
    </w:p>
    <w:p>
      <w:pPr>
        <w:pStyle w:val="17"/>
        <w:tabs>
          <w:tab w:val="right" w:leader="dot" w:pos="9355"/>
        </w:tabs>
      </w:pPr>
      <w:r>
        <w:fldChar w:fldCharType="begin"/>
      </w:r>
      <w:r>
        <w:instrText xml:space="preserve"> HYPERLINK \l "_Toc25177" </w:instrText>
      </w:r>
      <w:r>
        <w:fldChar w:fldCharType="separate"/>
      </w:r>
      <w:r>
        <w:rPr>
          <w:rFonts w:hint="eastAsia"/>
        </w:rPr>
        <w:t>第四章、供应商和投标产品的资格、资质性及其他类似效力要求</w:t>
      </w:r>
      <w:r>
        <w:tab/>
      </w:r>
      <w:r>
        <w:fldChar w:fldCharType="begin"/>
      </w:r>
      <w:r>
        <w:instrText xml:space="preserve"> PAGEREF _Toc25177 </w:instrText>
      </w:r>
      <w:r>
        <w:fldChar w:fldCharType="separate"/>
      </w:r>
      <w:r>
        <w:t>11</w:t>
      </w:r>
      <w:r>
        <w:fldChar w:fldCharType="end"/>
      </w:r>
      <w:r>
        <w:fldChar w:fldCharType="end"/>
      </w:r>
    </w:p>
    <w:p>
      <w:pPr>
        <w:pStyle w:val="17"/>
        <w:tabs>
          <w:tab w:val="right" w:leader="dot" w:pos="9355"/>
        </w:tabs>
      </w:pPr>
      <w:r>
        <w:fldChar w:fldCharType="begin"/>
      </w:r>
      <w:r>
        <w:instrText xml:space="preserve"> HYPERLINK \l "_Toc5938" </w:instrText>
      </w:r>
      <w:r>
        <w:fldChar w:fldCharType="separate"/>
      </w:r>
      <w:r>
        <w:rPr>
          <w:rFonts w:hint="eastAsia"/>
        </w:rPr>
        <w:t>第五章 供应商应当提供的资格、资质性及其他类似效力要求的相关证明材料</w:t>
      </w:r>
      <w:r>
        <w:tab/>
      </w:r>
      <w:r>
        <w:fldChar w:fldCharType="begin"/>
      </w:r>
      <w:r>
        <w:instrText xml:space="preserve"> PAGEREF _Toc5938 </w:instrText>
      </w:r>
      <w:r>
        <w:fldChar w:fldCharType="separate"/>
      </w:r>
      <w:r>
        <w:t>11</w:t>
      </w:r>
      <w:r>
        <w:fldChar w:fldCharType="end"/>
      </w:r>
      <w:r>
        <w:fldChar w:fldCharType="end"/>
      </w:r>
    </w:p>
    <w:p>
      <w:pPr>
        <w:pStyle w:val="17"/>
        <w:tabs>
          <w:tab w:val="right" w:leader="dot" w:pos="9355"/>
        </w:tabs>
      </w:pPr>
      <w:r>
        <w:fldChar w:fldCharType="begin"/>
      </w:r>
      <w:r>
        <w:instrText xml:space="preserve"> HYPERLINK \l "_Toc6363" </w:instrText>
      </w:r>
      <w:r>
        <w:fldChar w:fldCharType="separate"/>
      </w:r>
      <w:r>
        <w:rPr>
          <w:rFonts w:hint="eastAsia"/>
        </w:rPr>
        <w:t>第六章 本项目技术、服务、采购履约主要条款及其他要求条款</w:t>
      </w:r>
      <w:r>
        <w:tab/>
      </w:r>
      <w:r>
        <w:fldChar w:fldCharType="begin"/>
      </w:r>
      <w:r>
        <w:instrText xml:space="preserve"> PAGEREF _Toc6363 </w:instrText>
      </w:r>
      <w:r>
        <w:fldChar w:fldCharType="separate"/>
      </w:r>
      <w:r>
        <w:t>13</w:t>
      </w:r>
      <w:r>
        <w:fldChar w:fldCharType="end"/>
      </w:r>
      <w:r>
        <w:fldChar w:fldCharType="end"/>
      </w:r>
    </w:p>
    <w:p>
      <w:pPr>
        <w:pStyle w:val="17"/>
        <w:tabs>
          <w:tab w:val="right" w:leader="dot" w:pos="9355"/>
        </w:tabs>
      </w:pPr>
      <w:r>
        <w:fldChar w:fldCharType="begin"/>
      </w:r>
      <w:r>
        <w:instrText xml:space="preserve"> HYPERLINK \l "_Toc13555" </w:instrText>
      </w:r>
      <w:r>
        <w:fldChar w:fldCharType="separate"/>
      </w:r>
      <w:r>
        <w:rPr>
          <w:rFonts w:hint="eastAsia"/>
        </w:rPr>
        <w:t>第七章  评审办法</w:t>
      </w:r>
      <w:r>
        <w:tab/>
      </w:r>
      <w:r>
        <w:fldChar w:fldCharType="begin"/>
      </w:r>
      <w:r>
        <w:instrText xml:space="preserve"> PAGEREF _Toc13555 </w:instrText>
      </w:r>
      <w:r>
        <w:fldChar w:fldCharType="separate"/>
      </w:r>
      <w:r>
        <w:t>15</w:t>
      </w:r>
      <w:r>
        <w:fldChar w:fldCharType="end"/>
      </w:r>
      <w:r>
        <w:fldChar w:fldCharType="end"/>
      </w:r>
    </w:p>
    <w:p>
      <w:pPr>
        <w:pStyle w:val="17"/>
        <w:tabs>
          <w:tab w:val="right" w:leader="dot" w:pos="9355"/>
        </w:tabs>
      </w:pPr>
      <w:r>
        <w:fldChar w:fldCharType="begin"/>
      </w:r>
      <w:r>
        <w:instrText xml:space="preserve"> HYPERLINK \l "_Toc14438" </w:instrText>
      </w:r>
      <w:r>
        <w:fldChar w:fldCharType="separate"/>
      </w:r>
      <w:r>
        <w:rPr>
          <w:rFonts w:hint="eastAsia"/>
        </w:rPr>
        <w:t>第八章 采购合同（草案）</w:t>
      </w:r>
      <w:r>
        <w:tab/>
      </w:r>
      <w:r>
        <w:fldChar w:fldCharType="begin"/>
      </w:r>
      <w:r>
        <w:instrText xml:space="preserve"> PAGEREF _Toc14438 </w:instrText>
      </w:r>
      <w:r>
        <w:fldChar w:fldCharType="separate"/>
      </w:r>
      <w:r>
        <w:t>17</w:t>
      </w:r>
      <w:r>
        <w:fldChar w:fldCharType="end"/>
      </w:r>
      <w:r>
        <w:fldChar w:fldCharType="end"/>
      </w:r>
    </w:p>
    <w:p>
      <w:pPr>
        <w:spacing w:line="360" w:lineRule="auto"/>
        <w:outlineLvl w:val="0"/>
      </w:pPr>
      <w:r>
        <w:rPr>
          <w:rFonts w:hint="eastAsia"/>
        </w:rPr>
        <w:fldChar w:fldCharType="end"/>
      </w:r>
    </w:p>
    <w:p>
      <w:pPr>
        <w:pStyle w:val="4"/>
        <w:rPr>
          <w:rFonts w:hint="eastAsia" w:ascii="宋体" w:hAnsi="宋体" w:eastAsia="宋体" w:cs="宋体"/>
        </w:rPr>
        <w:sectPr>
          <w:headerReference r:id="rId7" w:type="first"/>
          <w:footerReference r:id="rId9" w:type="first"/>
          <w:headerReference r:id="rId5" w:type="default"/>
          <w:footerReference r:id="rId8" w:type="default"/>
          <w:headerReference r:id="rId6" w:type="even"/>
          <w:pgSz w:w="11907" w:h="16840"/>
          <w:pgMar w:top="1134" w:right="1134" w:bottom="851" w:left="1418" w:header="851" w:footer="992" w:gutter="0"/>
          <w:cols w:space="720" w:num="1"/>
          <w:titlePg/>
          <w:docGrid w:linePitch="312" w:charSpace="0"/>
        </w:sectPr>
      </w:pPr>
      <w:bookmarkStart w:id="1" w:name="_Toc6743"/>
      <w:bookmarkStart w:id="2" w:name="_Toc11708"/>
      <w:bookmarkStart w:id="3" w:name="_Toc12289"/>
    </w:p>
    <w:p>
      <w:pPr>
        <w:pStyle w:val="4"/>
        <w:rPr>
          <w:rFonts w:hint="eastAsia" w:ascii="宋体" w:hAnsi="宋体" w:eastAsia="宋体" w:cs="宋体"/>
        </w:rPr>
      </w:pPr>
      <w:r>
        <w:rPr>
          <w:rFonts w:hint="eastAsia" w:ascii="宋体" w:hAnsi="宋体" w:eastAsia="宋体" w:cs="宋体"/>
        </w:rPr>
        <w:t>第一章  比选邀请</w:t>
      </w:r>
      <w:bookmarkEnd w:id="1"/>
      <w:bookmarkEnd w:id="2"/>
      <w:bookmarkEnd w:id="3"/>
    </w:p>
    <w:p>
      <w:pPr>
        <w:jc w:val="left"/>
        <w:rPr>
          <w:rFonts w:hint="eastAsia" w:ascii="宋体" w:hAnsi="宋体" w:eastAsia="宋体" w:cs="宋体"/>
          <w:sz w:val="24"/>
        </w:rPr>
      </w:pPr>
      <w:r>
        <w:rPr>
          <w:rFonts w:hint="eastAsia" w:ascii="宋体" w:hAnsi="宋体" w:eastAsia="宋体" w:cs="宋体"/>
          <w:bCs/>
          <w:sz w:val="24"/>
          <w:lang w:eastAsia="zh-CN"/>
        </w:rPr>
        <w:t>巴中市中医院</w:t>
      </w:r>
      <w:r>
        <w:rPr>
          <w:rFonts w:hint="eastAsia" w:ascii="宋体" w:hAnsi="宋体" w:eastAsia="宋体" w:cs="宋体"/>
          <w:sz w:val="24"/>
        </w:rPr>
        <w:t>拟对“</w:t>
      </w:r>
      <w:r>
        <w:rPr>
          <w:rFonts w:hint="eastAsia" w:ascii="宋体" w:hAnsi="宋体" w:eastAsia="宋体" w:cs="宋体"/>
          <w:bCs/>
          <w:sz w:val="24"/>
          <w:lang w:val="en-US" w:eastAsia="zh-CN"/>
        </w:rPr>
        <w:t>新冠病毒核酸快速检测仪紧急采购项目</w:t>
      </w:r>
      <w:r>
        <w:rPr>
          <w:rFonts w:hint="eastAsia" w:ascii="宋体" w:hAnsi="宋体" w:eastAsia="宋体" w:cs="宋体"/>
          <w:sz w:val="24"/>
        </w:rPr>
        <w:t>”进行院内比选采购，兹邀请符合本次比选要求的供应商参加比选。</w:t>
      </w:r>
    </w:p>
    <w:p>
      <w:pPr>
        <w:spacing w:line="360" w:lineRule="auto"/>
        <w:ind w:left="1619" w:hanging="1619" w:hangingChars="672"/>
        <w:outlineLvl w:val="5"/>
        <w:rPr>
          <w:rFonts w:hint="eastAsia" w:ascii="宋体" w:hAnsi="宋体" w:eastAsia="宋体" w:cs="宋体"/>
          <w:sz w:val="24"/>
        </w:rPr>
      </w:pPr>
      <w:r>
        <w:rPr>
          <w:rFonts w:hint="eastAsia" w:ascii="宋体" w:hAnsi="宋体" w:eastAsia="宋体" w:cs="宋体"/>
          <w:b/>
          <w:bCs/>
          <w:sz w:val="24"/>
        </w:rPr>
        <w:t>一、项目</w:t>
      </w:r>
      <w:r>
        <w:rPr>
          <w:rFonts w:hint="eastAsia" w:ascii="宋体" w:hAnsi="宋体" w:eastAsia="宋体" w:cs="宋体"/>
          <w:b/>
          <w:bCs/>
          <w:sz w:val="24"/>
          <w:lang w:val="en-US" w:eastAsia="zh-CN"/>
        </w:rPr>
        <w:t>名称</w:t>
      </w:r>
      <w:r>
        <w:rPr>
          <w:rFonts w:hint="eastAsia" w:ascii="宋体" w:hAnsi="宋体" w:eastAsia="宋体" w:cs="宋体"/>
          <w:b/>
          <w:bCs/>
          <w:sz w:val="24"/>
        </w:rPr>
        <w:t>：</w:t>
      </w:r>
      <w:r>
        <w:rPr>
          <w:rFonts w:hint="eastAsia" w:hAnsi="宋体" w:cs="宋体"/>
          <w:b w:val="0"/>
          <w:bCs w:val="0"/>
          <w:sz w:val="24"/>
          <w:lang w:val="en-US" w:eastAsia="zh-CN"/>
        </w:rPr>
        <w:t>巴中市中医院</w:t>
      </w:r>
      <w:r>
        <w:rPr>
          <w:rFonts w:hint="eastAsia" w:ascii="宋体" w:hAnsi="宋体" w:eastAsia="宋体" w:cs="宋体"/>
          <w:bCs/>
          <w:sz w:val="24"/>
          <w:lang w:val="en-US" w:eastAsia="zh-CN"/>
        </w:rPr>
        <w:t>新冠病毒核酸快速检测仪紧急采购项目</w:t>
      </w:r>
    </w:p>
    <w:p>
      <w:pPr>
        <w:widowControl/>
        <w:spacing w:line="360" w:lineRule="auto"/>
        <w:outlineLvl w:val="5"/>
        <w:rPr>
          <w:rFonts w:hint="eastAsia" w:ascii="宋体" w:hAnsi="宋体" w:eastAsia="宋体" w:cs="宋体"/>
          <w:sz w:val="24"/>
        </w:rPr>
      </w:pPr>
      <w:r>
        <w:rPr>
          <w:rFonts w:hint="eastAsia" w:ascii="宋体" w:hAnsi="宋体" w:eastAsia="宋体" w:cs="宋体"/>
          <w:b/>
          <w:sz w:val="24"/>
        </w:rPr>
        <w:t>二、项目简介：</w:t>
      </w:r>
      <w:r>
        <w:rPr>
          <w:rFonts w:hint="eastAsia" w:ascii="宋体" w:hAnsi="宋体" w:eastAsia="宋体" w:cs="宋体"/>
          <w:sz w:val="24"/>
        </w:rPr>
        <w:t>本项目共1个包，采购内容</w:t>
      </w:r>
      <w:r>
        <w:rPr>
          <w:rFonts w:hint="eastAsia" w:ascii="宋体" w:hAnsi="宋体" w:eastAsia="宋体" w:cs="宋体"/>
          <w:sz w:val="24"/>
          <w:lang w:val="en-US" w:eastAsia="zh-CN"/>
        </w:rPr>
        <w:t>便携式快速</w:t>
      </w:r>
      <w:r>
        <w:rPr>
          <w:rFonts w:hint="eastAsia" w:ascii="宋体" w:hAnsi="宋体" w:eastAsia="宋体" w:cs="宋体"/>
          <w:sz w:val="24"/>
          <w:szCs w:val="24"/>
        </w:rPr>
        <w:t>实时荧光定量PCR分析仪1台</w:t>
      </w:r>
      <w:r>
        <w:rPr>
          <w:rFonts w:hint="eastAsia" w:ascii="宋体" w:hAnsi="宋体" w:eastAsia="宋体" w:cs="宋体"/>
          <w:sz w:val="24"/>
        </w:rPr>
        <w:t>（具体详见第六章“本项目技术、服务、采购履约主要条款及其他要求条款”）</w:t>
      </w:r>
    </w:p>
    <w:p>
      <w:pPr>
        <w:widowControl/>
        <w:spacing w:line="360" w:lineRule="auto"/>
        <w:outlineLvl w:val="5"/>
        <w:rPr>
          <w:rFonts w:hint="eastAsia" w:ascii="宋体" w:hAnsi="宋体" w:eastAsia="宋体" w:cs="宋体"/>
          <w:b/>
          <w:sz w:val="24"/>
        </w:rPr>
      </w:pPr>
      <w:r>
        <w:rPr>
          <w:rFonts w:hint="eastAsia" w:ascii="宋体" w:hAnsi="宋体" w:eastAsia="宋体" w:cs="宋体"/>
          <w:b/>
          <w:sz w:val="24"/>
        </w:rPr>
        <w:t>三、供应商参加本次采购活动，应当在提交比选响应文件前具备下列条件：</w:t>
      </w:r>
    </w:p>
    <w:p>
      <w:pPr>
        <w:spacing w:line="360" w:lineRule="auto"/>
        <w:ind w:firstLine="120" w:firstLineChars="50"/>
        <w:outlineLvl w:val="5"/>
        <w:rPr>
          <w:rFonts w:hint="eastAsia" w:ascii="宋体" w:hAnsi="宋体" w:eastAsia="宋体" w:cs="宋体"/>
          <w:b/>
          <w:sz w:val="24"/>
        </w:rPr>
      </w:pPr>
      <w:r>
        <w:rPr>
          <w:rFonts w:hint="eastAsia" w:ascii="宋体" w:hAnsi="宋体" w:eastAsia="宋体" w:cs="宋体"/>
          <w:b/>
          <w:sz w:val="24"/>
        </w:rPr>
        <w:t>1.供应商应具备下列条件：</w:t>
      </w:r>
    </w:p>
    <w:p>
      <w:pPr>
        <w:shd w:val="clear" w:color="auto" w:fill="FFFFFF"/>
        <w:tabs>
          <w:tab w:val="left" w:pos="900"/>
          <w:tab w:val="left" w:pos="5366"/>
        </w:tabs>
        <w:snapToGrid w:val="0"/>
        <w:spacing w:line="360" w:lineRule="auto"/>
        <w:ind w:firstLine="360" w:firstLineChars="150"/>
        <w:outlineLvl w:val="5"/>
        <w:rPr>
          <w:rFonts w:hint="eastAsia" w:ascii="宋体" w:hAnsi="宋体" w:eastAsia="宋体" w:cs="宋体"/>
          <w:sz w:val="24"/>
        </w:rPr>
      </w:pPr>
      <w:r>
        <w:rPr>
          <w:rFonts w:hint="eastAsia" w:ascii="宋体" w:hAnsi="宋体" w:eastAsia="宋体" w:cs="宋体"/>
          <w:sz w:val="24"/>
        </w:rPr>
        <w:t>1.1具有独立承担民事责任的能力；</w:t>
      </w:r>
    </w:p>
    <w:p>
      <w:pPr>
        <w:shd w:val="clear" w:color="auto" w:fill="FFFFFF"/>
        <w:tabs>
          <w:tab w:val="left" w:pos="900"/>
          <w:tab w:val="left" w:pos="5366"/>
        </w:tabs>
        <w:snapToGrid w:val="0"/>
        <w:spacing w:line="360" w:lineRule="auto"/>
        <w:ind w:firstLine="360" w:firstLineChars="150"/>
        <w:outlineLvl w:val="5"/>
        <w:rPr>
          <w:rFonts w:hint="eastAsia" w:ascii="宋体" w:hAnsi="宋体" w:eastAsia="宋体" w:cs="宋体"/>
          <w:sz w:val="24"/>
        </w:rPr>
      </w:pPr>
      <w:r>
        <w:rPr>
          <w:rFonts w:hint="eastAsia" w:ascii="宋体" w:hAnsi="宋体" w:eastAsia="宋体" w:cs="宋体"/>
          <w:sz w:val="24"/>
        </w:rPr>
        <w:t>1.2具有良好的商业信誉和健全的财务会计制度；</w:t>
      </w:r>
    </w:p>
    <w:p>
      <w:pPr>
        <w:shd w:val="clear" w:color="auto" w:fill="FFFFFF"/>
        <w:tabs>
          <w:tab w:val="left" w:pos="900"/>
          <w:tab w:val="left" w:pos="5366"/>
        </w:tabs>
        <w:snapToGrid w:val="0"/>
        <w:spacing w:line="360" w:lineRule="auto"/>
        <w:ind w:firstLine="360" w:firstLineChars="150"/>
        <w:outlineLvl w:val="5"/>
        <w:rPr>
          <w:rFonts w:hint="eastAsia" w:ascii="宋体" w:hAnsi="宋体" w:eastAsia="宋体" w:cs="宋体"/>
          <w:sz w:val="24"/>
        </w:rPr>
      </w:pPr>
      <w:r>
        <w:rPr>
          <w:rFonts w:hint="eastAsia" w:ascii="宋体" w:hAnsi="宋体" w:eastAsia="宋体" w:cs="宋体"/>
          <w:sz w:val="24"/>
        </w:rPr>
        <w:t>1.3具有履行合同所必需的产品和专业技术能力；</w:t>
      </w:r>
      <w:r>
        <w:rPr>
          <w:rFonts w:hint="eastAsia" w:ascii="宋体" w:hAnsi="宋体" w:eastAsia="宋体" w:cs="宋体"/>
          <w:sz w:val="24"/>
        </w:rPr>
        <w:tab/>
      </w:r>
      <w:r>
        <w:rPr>
          <w:rFonts w:hint="eastAsia" w:ascii="宋体" w:hAnsi="宋体" w:eastAsia="宋体" w:cs="宋体"/>
          <w:sz w:val="24"/>
        </w:rPr>
        <w:tab/>
      </w:r>
    </w:p>
    <w:p>
      <w:pPr>
        <w:shd w:val="clear" w:color="auto" w:fill="FFFFFF"/>
        <w:tabs>
          <w:tab w:val="left" w:pos="900"/>
          <w:tab w:val="left" w:pos="5366"/>
        </w:tabs>
        <w:snapToGrid w:val="0"/>
        <w:spacing w:line="360" w:lineRule="auto"/>
        <w:ind w:firstLine="360" w:firstLineChars="150"/>
        <w:outlineLvl w:val="5"/>
        <w:rPr>
          <w:rFonts w:hint="eastAsia" w:ascii="宋体" w:hAnsi="宋体" w:eastAsia="宋体" w:cs="宋体"/>
          <w:sz w:val="24"/>
        </w:rPr>
      </w:pPr>
      <w:r>
        <w:rPr>
          <w:rFonts w:hint="eastAsia" w:ascii="宋体" w:hAnsi="宋体" w:eastAsia="宋体" w:cs="宋体"/>
          <w:sz w:val="24"/>
        </w:rPr>
        <w:t>1.4法律、行政法规规定的其他条件。</w:t>
      </w:r>
    </w:p>
    <w:p>
      <w:pPr>
        <w:shd w:val="clear" w:color="auto" w:fill="FFFFFF"/>
        <w:tabs>
          <w:tab w:val="left" w:pos="900"/>
          <w:tab w:val="left" w:pos="5366"/>
        </w:tabs>
        <w:snapToGrid w:val="0"/>
        <w:spacing w:line="360" w:lineRule="auto"/>
        <w:ind w:firstLine="360" w:firstLineChars="150"/>
        <w:outlineLvl w:val="5"/>
        <w:rPr>
          <w:rFonts w:hint="eastAsia" w:ascii="宋体" w:hAnsi="宋体" w:eastAsia="宋体" w:cs="宋体"/>
        </w:rPr>
      </w:pPr>
      <w:r>
        <w:rPr>
          <w:rFonts w:hint="eastAsia" w:ascii="宋体" w:hAnsi="宋体" w:eastAsia="宋体" w:cs="宋体"/>
          <w:sz w:val="24"/>
        </w:rPr>
        <w:t>1.5投标人须符合《医疗器械监督管理条例》要求并提供供应商经营该产品的经营许可证/经营备案材料；投标产品须符合《医疗器械注册管理办法》要求并提供产品的注册/备案证明材料。</w:t>
      </w:r>
    </w:p>
    <w:p>
      <w:pPr>
        <w:widowControl/>
        <w:spacing w:line="360" w:lineRule="auto"/>
        <w:outlineLvl w:val="5"/>
        <w:rPr>
          <w:rFonts w:hint="eastAsia" w:ascii="宋体" w:hAnsi="宋体" w:eastAsia="宋体" w:cs="宋体"/>
          <w:b/>
          <w:sz w:val="24"/>
        </w:rPr>
      </w:pPr>
      <w:r>
        <w:rPr>
          <w:rFonts w:hint="eastAsia" w:ascii="宋体" w:hAnsi="宋体" w:eastAsia="宋体" w:cs="宋体"/>
          <w:b/>
          <w:sz w:val="24"/>
        </w:rPr>
        <w:t>四、比选地点及截止时间：</w:t>
      </w:r>
    </w:p>
    <w:p>
      <w:pPr>
        <w:widowControl/>
        <w:spacing w:line="360" w:lineRule="auto"/>
        <w:ind w:firstLine="240" w:firstLineChars="100"/>
        <w:outlineLvl w:val="5"/>
        <w:rPr>
          <w:rFonts w:hint="eastAsia" w:ascii="宋体" w:hAnsi="宋体" w:eastAsia="宋体" w:cs="宋体"/>
          <w:sz w:val="24"/>
        </w:rPr>
      </w:pPr>
      <w:r>
        <w:rPr>
          <w:rFonts w:hint="eastAsia" w:ascii="宋体" w:hAnsi="宋体" w:eastAsia="宋体" w:cs="宋体"/>
          <w:sz w:val="24"/>
        </w:rPr>
        <w:t>1.比选响应文件的递交地点：</w:t>
      </w:r>
      <w:r>
        <w:rPr>
          <w:rFonts w:hint="eastAsia" w:ascii="宋体" w:hAnsi="宋体" w:eastAsia="宋体" w:cs="宋体"/>
          <w:sz w:val="24"/>
          <w:lang w:eastAsia="zh-CN"/>
        </w:rPr>
        <w:t>巴中市中医院</w:t>
      </w:r>
      <w:r>
        <w:rPr>
          <w:rFonts w:hint="eastAsia" w:ascii="宋体" w:hAnsi="宋体" w:eastAsia="宋体" w:cs="宋体"/>
          <w:sz w:val="24"/>
        </w:rPr>
        <w:t>回风院区11楼医学装备部（</w:t>
      </w:r>
      <w:r>
        <w:rPr>
          <w:rFonts w:hint="eastAsia" w:hAnsi="宋体" w:cs="宋体"/>
          <w:sz w:val="24"/>
          <w:lang w:val="en-US" w:eastAsia="zh-CN"/>
        </w:rPr>
        <w:t>一</w:t>
      </w:r>
      <w:r>
        <w:rPr>
          <w:rFonts w:hint="eastAsia" w:ascii="宋体" w:hAnsi="宋体" w:eastAsia="宋体" w:cs="宋体"/>
          <w:sz w:val="24"/>
        </w:rPr>
        <w:t>）。</w:t>
      </w:r>
    </w:p>
    <w:p>
      <w:pPr>
        <w:widowControl/>
        <w:spacing w:line="360" w:lineRule="auto"/>
        <w:ind w:firstLine="240" w:firstLineChars="100"/>
        <w:outlineLvl w:val="5"/>
        <w:rPr>
          <w:rFonts w:hint="eastAsia" w:ascii="宋体" w:hAnsi="宋体" w:eastAsia="宋体" w:cs="宋体"/>
          <w:sz w:val="24"/>
        </w:rPr>
      </w:pPr>
      <w:r>
        <w:rPr>
          <w:rFonts w:hint="eastAsia" w:ascii="宋体" w:hAnsi="宋体" w:eastAsia="宋体" w:cs="宋体"/>
          <w:sz w:val="24"/>
        </w:rPr>
        <w:t>2.递交比选响应文件的截止时间：202</w:t>
      </w:r>
      <w:r>
        <w:rPr>
          <w:rFonts w:hint="eastAsia" w:hAnsi="宋体" w:cs="宋体"/>
          <w:sz w:val="24"/>
          <w:lang w:val="en-US" w:eastAsia="zh-CN"/>
        </w:rPr>
        <w:t>2</w:t>
      </w:r>
      <w:r>
        <w:rPr>
          <w:rFonts w:hint="eastAsia" w:ascii="宋体" w:hAnsi="宋体" w:eastAsia="宋体" w:cs="宋体"/>
          <w:sz w:val="24"/>
        </w:rPr>
        <w:t xml:space="preserve"> 年</w:t>
      </w:r>
      <w:r>
        <w:rPr>
          <w:rFonts w:hint="eastAsia" w:hAnsi="宋体" w:cs="宋体"/>
          <w:sz w:val="24"/>
          <w:lang w:val="en-US" w:eastAsia="zh-CN"/>
        </w:rPr>
        <w:t>9</w:t>
      </w:r>
      <w:r>
        <w:rPr>
          <w:rFonts w:hint="eastAsia" w:ascii="宋体" w:hAnsi="宋体" w:eastAsia="宋体" w:cs="宋体"/>
          <w:sz w:val="24"/>
        </w:rPr>
        <w:t>月</w:t>
      </w:r>
      <w:r>
        <w:rPr>
          <w:rFonts w:hint="eastAsia" w:hAnsi="宋体" w:cs="宋体"/>
          <w:sz w:val="24"/>
          <w:lang w:val="en-US" w:eastAsia="zh-CN"/>
        </w:rPr>
        <w:t>2</w:t>
      </w:r>
      <w:r>
        <w:rPr>
          <w:rFonts w:hint="eastAsia" w:ascii="宋体" w:hAnsi="宋体" w:eastAsia="宋体" w:cs="宋体"/>
          <w:sz w:val="24"/>
        </w:rPr>
        <w:t>日</w:t>
      </w:r>
      <w:r>
        <w:rPr>
          <w:rFonts w:hint="eastAsia" w:hAnsi="宋体" w:cs="宋体"/>
          <w:sz w:val="24"/>
          <w:lang w:val="en-US" w:eastAsia="zh-CN"/>
        </w:rPr>
        <w:t xml:space="preserve"> 18</w:t>
      </w:r>
      <w:r>
        <w:rPr>
          <w:rFonts w:hint="eastAsia" w:ascii="宋体" w:hAnsi="宋体" w:eastAsia="宋体" w:cs="宋体"/>
          <w:sz w:val="24"/>
        </w:rPr>
        <w:t>时前。</w:t>
      </w:r>
    </w:p>
    <w:p>
      <w:pPr>
        <w:widowControl/>
        <w:spacing w:line="360" w:lineRule="auto"/>
        <w:ind w:firstLine="240" w:firstLineChars="100"/>
        <w:outlineLvl w:val="5"/>
        <w:rPr>
          <w:rFonts w:hint="eastAsia" w:ascii="宋体" w:hAnsi="宋体" w:eastAsia="宋体" w:cs="宋体"/>
          <w:sz w:val="24"/>
        </w:rPr>
      </w:pPr>
      <w:r>
        <w:rPr>
          <w:rFonts w:hint="eastAsia" w:ascii="宋体" w:hAnsi="宋体" w:eastAsia="宋体" w:cs="宋体"/>
          <w:sz w:val="24"/>
        </w:rPr>
        <w:t>3.比选文件必须在截止时间前送达递交地点。逾期送达或者未按照比选文件要求密封的比选文件恕不接受。</w:t>
      </w:r>
    </w:p>
    <w:p>
      <w:pPr>
        <w:widowControl/>
        <w:spacing w:line="360" w:lineRule="auto"/>
        <w:outlineLvl w:val="5"/>
        <w:rPr>
          <w:rFonts w:hint="eastAsia" w:ascii="宋体" w:hAnsi="宋体" w:eastAsia="宋体" w:cs="宋体"/>
          <w:sz w:val="24"/>
        </w:rPr>
      </w:pPr>
      <w:r>
        <w:rPr>
          <w:rFonts w:hint="eastAsia" w:ascii="宋体" w:hAnsi="宋体" w:eastAsia="宋体" w:cs="宋体"/>
          <w:b/>
          <w:sz w:val="24"/>
        </w:rPr>
        <w:t>五、开标地点及开标时间：</w:t>
      </w:r>
      <w:r>
        <w:rPr>
          <w:rFonts w:hint="eastAsia" w:ascii="宋体" w:hAnsi="宋体" w:eastAsia="宋体" w:cs="宋体"/>
          <w:sz w:val="24"/>
          <w:lang w:eastAsia="zh-CN"/>
        </w:rPr>
        <w:t>巴中市中医院</w:t>
      </w:r>
      <w:r>
        <w:rPr>
          <w:rFonts w:hint="eastAsia" w:ascii="宋体" w:hAnsi="宋体" w:eastAsia="宋体" w:cs="宋体"/>
          <w:sz w:val="24"/>
        </w:rPr>
        <w:t>回风院区，开标时间另行通知。</w:t>
      </w:r>
    </w:p>
    <w:p>
      <w:pPr>
        <w:widowControl/>
        <w:spacing w:line="360" w:lineRule="auto"/>
        <w:outlineLvl w:val="5"/>
        <w:rPr>
          <w:rFonts w:hint="eastAsia" w:ascii="宋体" w:hAnsi="宋体" w:eastAsia="宋体" w:cs="宋体"/>
          <w:b/>
          <w:sz w:val="24"/>
        </w:rPr>
      </w:pPr>
      <w:r>
        <w:rPr>
          <w:rFonts w:hint="eastAsia" w:ascii="宋体" w:hAnsi="宋体" w:eastAsia="宋体" w:cs="宋体"/>
          <w:b/>
          <w:sz w:val="24"/>
        </w:rPr>
        <w:t>六、本比选邀请在“</w:t>
      </w:r>
      <w:r>
        <w:rPr>
          <w:rFonts w:hint="eastAsia" w:ascii="宋体" w:hAnsi="宋体" w:eastAsia="宋体" w:cs="宋体"/>
          <w:b/>
          <w:sz w:val="24"/>
          <w:lang w:eastAsia="zh-CN"/>
        </w:rPr>
        <w:t>巴中市中医院</w:t>
      </w:r>
      <w:r>
        <w:rPr>
          <w:rFonts w:hint="eastAsia" w:ascii="宋体" w:hAnsi="宋体" w:eastAsia="宋体" w:cs="宋体"/>
          <w:b/>
          <w:sz w:val="24"/>
        </w:rPr>
        <w:t>官网（http://www.scbzzyy.cn/Index.html）”上以公告形式发布。</w:t>
      </w:r>
    </w:p>
    <w:p>
      <w:pPr>
        <w:widowControl/>
        <w:spacing w:line="360" w:lineRule="auto"/>
        <w:outlineLvl w:val="5"/>
        <w:rPr>
          <w:rFonts w:hint="eastAsia" w:ascii="宋体" w:hAnsi="宋体" w:eastAsia="宋体" w:cs="宋体"/>
          <w:b/>
          <w:sz w:val="24"/>
        </w:rPr>
      </w:pPr>
    </w:p>
    <w:p>
      <w:pPr>
        <w:widowControl/>
        <w:spacing w:line="360" w:lineRule="auto"/>
        <w:outlineLvl w:val="5"/>
        <w:rPr>
          <w:rFonts w:hint="eastAsia" w:ascii="宋体" w:hAnsi="宋体" w:eastAsia="宋体" w:cs="宋体"/>
          <w:b/>
          <w:color w:val="auto"/>
          <w:sz w:val="24"/>
        </w:rPr>
      </w:pPr>
      <w:r>
        <w:rPr>
          <w:rFonts w:hint="eastAsia" w:ascii="宋体" w:hAnsi="宋体" w:eastAsia="宋体" w:cs="宋体"/>
          <w:b/>
          <w:sz w:val="24"/>
        </w:rPr>
        <w:t>七</w:t>
      </w:r>
      <w:r>
        <w:rPr>
          <w:rFonts w:hint="eastAsia" w:ascii="宋体" w:hAnsi="宋体" w:eastAsia="宋体" w:cs="宋体"/>
          <w:b/>
          <w:color w:val="auto"/>
          <w:sz w:val="24"/>
        </w:rPr>
        <w:t>、联系方式：</w:t>
      </w:r>
    </w:p>
    <w:p>
      <w:pPr>
        <w:widowControl/>
        <w:spacing w:line="360" w:lineRule="auto"/>
        <w:ind w:firstLine="723" w:firstLineChars="300"/>
        <w:outlineLvl w:val="5"/>
        <w:rPr>
          <w:rFonts w:hint="eastAsia" w:ascii="宋体" w:hAnsi="宋体" w:eastAsia="宋体" w:cs="宋体"/>
          <w:b/>
          <w:color w:val="auto"/>
          <w:sz w:val="24"/>
          <w:lang w:eastAsia="zh-CN"/>
        </w:rPr>
      </w:pPr>
      <w:r>
        <w:rPr>
          <w:rFonts w:hint="eastAsia" w:ascii="宋体" w:hAnsi="宋体" w:eastAsia="宋体" w:cs="宋体"/>
          <w:b/>
          <w:color w:val="auto"/>
          <w:sz w:val="24"/>
        </w:rPr>
        <w:t>采购人：</w:t>
      </w:r>
      <w:r>
        <w:rPr>
          <w:rFonts w:hint="eastAsia" w:ascii="宋体" w:hAnsi="宋体" w:eastAsia="宋体" w:cs="宋体"/>
          <w:b/>
          <w:color w:val="auto"/>
          <w:sz w:val="24"/>
          <w:lang w:eastAsia="zh-CN"/>
        </w:rPr>
        <w:t>巴中市中医院</w:t>
      </w:r>
    </w:p>
    <w:p>
      <w:pPr>
        <w:widowControl/>
        <w:spacing w:line="360" w:lineRule="auto"/>
        <w:ind w:firstLine="720" w:firstLineChars="300"/>
        <w:outlineLvl w:val="5"/>
        <w:rPr>
          <w:rFonts w:hint="eastAsia" w:ascii="宋体" w:hAnsi="宋体" w:eastAsia="宋体" w:cs="宋体"/>
          <w:color w:val="auto"/>
          <w:sz w:val="24"/>
        </w:rPr>
      </w:pPr>
      <w:r>
        <w:rPr>
          <w:rFonts w:hint="eastAsia" w:ascii="宋体" w:hAnsi="宋体" w:eastAsia="宋体" w:cs="宋体"/>
          <w:color w:val="auto"/>
          <w:sz w:val="24"/>
        </w:rPr>
        <w:t>地 址：巴中市巴州区巴州大道546号；</w:t>
      </w:r>
    </w:p>
    <w:p>
      <w:pPr>
        <w:widowControl/>
        <w:spacing w:line="360" w:lineRule="auto"/>
        <w:ind w:firstLine="720" w:firstLineChars="300"/>
        <w:outlineLvl w:val="5"/>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hAnsi="宋体" w:cs="宋体"/>
          <w:color w:val="auto"/>
          <w:sz w:val="24"/>
          <w:lang w:val="en-US" w:eastAsia="zh-CN"/>
        </w:rPr>
        <w:t>李老师</w:t>
      </w:r>
      <w:r>
        <w:rPr>
          <w:rFonts w:hint="eastAsia" w:ascii="宋体" w:hAnsi="宋体" w:eastAsia="宋体" w:cs="宋体"/>
          <w:color w:val="auto"/>
          <w:sz w:val="24"/>
        </w:rPr>
        <w:t>；</w:t>
      </w:r>
    </w:p>
    <w:p>
      <w:pPr>
        <w:widowControl/>
        <w:spacing w:line="360" w:lineRule="auto"/>
        <w:ind w:firstLine="720" w:firstLineChars="300"/>
        <w:outlineLvl w:val="5"/>
        <w:rPr>
          <w:rFonts w:hint="default" w:ascii="宋体" w:hAnsi="宋体" w:eastAsia="宋体" w:cs="宋体"/>
          <w:sz w:val="24"/>
          <w:lang w:val="en-US" w:eastAsia="zh-CN"/>
        </w:rPr>
      </w:pPr>
      <w:r>
        <w:rPr>
          <w:rFonts w:hint="eastAsia" w:ascii="宋体" w:hAnsi="宋体" w:eastAsia="宋体" w:cs="宋体"/>
          <w:sz w:val="24"/>
        </w:rPr>
        <w:t>联系电话：</w:t>
      </w:r>
      <w:r>
        <w:rPr>
          <w:rFonts w:hint="eastAsia" w:hAnsi="宋体" w:cs="宋体"/>
          <w:sz w:val="24"/>
          <w:lang w:val="en-US" w:eastAsia="zh-CN"/>
        </w:rPr>
        <w:t>13518470918</w:t>
      </w:r>
    </w:p>
    <w:p>
      <w:pPr>
        <w:pStyle w:val="2"/>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bookmarkStart w:id="4" w:name="_Toc213397009"/>
      <w:bookmarkStart w:id="5" w:name="_Toc9677"/>
      <w:bookmarkStart w:id="6" w:name="_Toc213396945"/>
      <w:bookmarkStart w:id="7" w:name="_Toc20736"/>
      <w:bookmarkStart w:id="8" w:name="_Toc7915"/>
      <w:bookmarkStart w:id="9" w:name="_Toc213396759"/>
      <w:bookmarkStart w:id="10" w:name="_Toc217446031"/>
      <w:bookmarkStart w:id="11" w:name="_Toc213496267"/>
      <w:bookmarkStart w:id="12" w:name="_Toc89075871"/>
      <w:bookmarkStart w:id="13" w:name="_Toc183682339"/>
      <w:bookmarkStart w:id="14" w:name="_Toc77400776"/>
      <w:bookmarkStart w:id="15" w:name="_Toc183582202"/>
      <w:r>
        <w:rPr>
          <w:rFonts w:hint="eastAsia" w:ascii="宋体" w:hAnsi="宋体" w:eastAsia="宋体" w:cs="宋体"/>
        </w:rPr>
        <w:t>第二章  比选须知</w:t>
      </w:r>
      <w:bookmarkEnd w:id="4"/>
      <w:bookmarkEnd w:id="5"/>
      <w:bookmarkEnd w:id="6"/>
      <w:bookmarkEnd w:id="7"/>
      <w:bookmarkEnd w:id="8"/>
      <w:bookmarkEnd w:id="9"/>
      <w:bookmarkEnd w:id="10"/>
      <w:bookmarkEnd w:id="11"/>
      <w:bookmarkStart w:id="16" w:name="_Toc184274915"/>
      <w:bookmarkStart w:id="17" w:name="_Toc184283909"/>
    </w:p>
    <w:p>
      <w:pPr>
        <w:pStyle w:val="5"/>
        <w:rPr>
          <w:rFonts w:hint="eastAsia" w:ascii="宋体" w:hAnsi="宋体" w:eastAsia="宋体" w:cs="宋体"/>
        </w:rPr>
      </w:pPr>
      <w:bookmarkStart w:id="18" w:name="_Toc15899"/>
      <w:bookmarkStart w:id="19" w:name="_Toc217446032"/>
      <w:bookmarkStart w:id="20" w:name="_Toc213396760"/>
      <w:bookmarkStart w:id="21" w:name="_Toc213496268"/>
      <w:bookmarkStart w:id="22" w:name="_Toc3389"/>
      <w:bookmarkStart w:id="23" w:name="_Toc189727030"/>
      <w:bookmarkStart w:id="24" w:name="_Toc213396946"/>
      <w:bookmarkStart w:id="25" w:name="_Toc213397010"/>
      <w:r>
        <w:rPr>
          <w:rFonts w:hint="eastAsia" w:ascii="宋体" w:hAnsi="宋体" w:eastAsia="宋体" w:cs="宋体"/>
        </w:rPr>
        <w:t>一、比选须知附表</w:t>
      </w:r>
      <w:bookmarkEnd w:id="16"/>
      <w:bookmarkEnd w:id="17"/>
      <w:bookmarkEnd w:id="18"/>
      <w:bookmarkEnd w:id="19"/>
      <w:bookmarkEnd w:id="20"/>
      <w:bookmarkEnd w:id="21"/>
      <w:bookmarkEnd w:id="22"/>
      <w:bookmarkEnd w:id="23"/>
      <w:bookmarkEnd w:id="24"/>
      <w:bookmarkEnd w:id="25"/>
    </w:p>
    <w:tbl>
      <w:tblPr>
        <w:tblStyle w:val="19"/>
        <w:tblW w:w="9399"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465"/>
        <w:gridCol w:w="1968"/>
        <w:gridCol w:w="696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blHeader/>
        </w:trPr>
        <w:tc>
          <w:tcPr>
            <w:tcW w:w="465" w:type="dxa"/>
            <w:vAlign w:val="center"/>
          </w:tcPr>
          <w:p>
            <w:pPr>
              <w:spacing w:line="360" w:lineRule="auto"/>
              <w:jc w:val="center"/>
              <w:outlineLvl w:val="5"/>
              <w:rPr>
                <w:rFonts w:hint="eastAsia" w:ascii="宋体" w:hAnsi="宋体" w:eastAsia="宋体" w:cs="宋体"/>
                <w:b/>
                <w:sz w:val="24"/>
                <w:szCs w:val="24"/>
                <w:lang w:val="zh-CN"/>
              </w:rPr>
            </w:pPr>
            <w:r>
              <w:rPr>
                <w:rFonts w:hint="eastAsia" w:ascii="宋体" w:hAnsi="宋体" w:eastAsia="宋体" w:cs="宋体"/>
                <w:b/>
                <w:sz w:val="24"/>
                <w:szCs w:val="24"/>
                <w:lang w:val="zh-CN"/>
              </w:rPr>
              <w:t xml:space="preserve">序号 </w:t>
            </w:r>
          </w:p>
        </w:tc>
        <w:tc>
          <w:tcPr>
            <w:tcW w:w="1968" w:type="dxa"/>
            <w:vAlign w:val="center"/>
          </w:tcPr>
          <w:p>
            <w:pPr>
              <w:spacing w:line="360" w:lineRule="auto"/>
              <w:jc w:val="center"/>
              <w:outlineLvl w:val="5"/>
              <w:rPr>
                <w:rFonts w:hint="eastAsia" w:ascii="宋体" w:hAnsi="宋体" w:eastAsia="宋体" w:cs="宋体"/>
                <w:b/>
                <w:sz w:val="24"/>
                <w:szCs w:val="24"/>
                <w:lang w:val="zh-CN"/>
              </w:rPr>
            </w:pPr>
            <w:r>
              <w:rPr>
                <w:rFonts w:hint="eastAsia" w:ascii="宋体" w:hAnsi="宋体" w:eastAsia="宋体" w:cs="宋体"/>
                <w:b/>
                <w:sz w:val="24"/>
                <w:szCs w:val="24"/>
                <w:lang w:val="zh-CN"/>
              </w:rPr>
              <w:t>条款名称</w:t>
            </w:r>
          </w:p>
        </w:tc>
        <w:tc>
          <w:tcPr>
            <w:tcW w:w="6966" w:type="dxa"/>
            <w:vAlign w:val="center"/>
          </w:tcPr>
          <w:p>
            <w:pPr>
              <w:spacing w:line="360" w:lineRule="auto"/>
              <w:jc w:val="center"/>
              <w:outlineLvl w:val="5"/>
              <w:rPr>
                <w:rFonts w:hint="eastAsia" w:ascii="宋体" w:hAnsi="宋体" w:eastAsia="宋体" w:cs="宋体"/>
                <w:b/>
                <w:sz w:val="24"/>
                <w:szCs w:val="24"/>
                <w:lang w:val="zh-CN"/>
              </w:rPr>
            </w:pPr>
            <w:r>
              <w:rPr>
                <w:rFonts w:hint="eastAsia" w:ascii="宋体" w:hAnsi="宋体" w:eastAsia="宋体" w:cs="宋体"/>
                <w:b/>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vAlign w:val="center"/>
          </w:tcPr>
          <w:p>
            <w:pPr>
              <w:spacing w:line="360" w:lineRule="auto"/>
              <w:jc w:val="center"/>
              <w:outlineLvl w:val="5"/>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968" w:type="dxa"/>
            <w:vAlign w:val="center"/>
          </w:tcPr>
          <w:p>
            <w:pPr>
              <w:spacing w:line="360" w:lineRule="auto"/>
              <w:jc w:val="left"/>
              <w:outlineLvl w:val="5"/>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6966" w:type="dxa"/>
          </w:tcPr>
          <w:p>
            <w:pPr>
              <w:rPr>
                <w:rFonts w:hint="eastAsia" w:ascii="宋体" w:hAnsi="宋体" w:eastAsia="宋体" w:cs="宋体"/>
                <w:sz w:val="24"/>
                <w:szCs w:val="24"/>
                <w:lang w:val="zh-CN"/>
              </w:rPr>
            </w:pPr>
            <w:r>
              <w:rPr>
                <w:rFonts w:hint="eastAsia" w:ascii="宋体" w:hAnsi="宋体" w:eastAsia="宋体" w:cs="宋体"/>
                <w:sz w:val="24"/>
                <w:szCs w:val="24"/>
                <w:lang w:val="zh-CN"/>
              </w:rPr>
              <w:t>巴中市中医院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vAlign w:val="center"/>
          </w:tcPr>
          <w:p>
            <w:pPr>
              <w:spacing w:line="360" w:lineRule="auto"/>
              <w:jc w:val="center"/>
              <w:outlineLvl w:val="5"/>
              <w:rPr>
                <w:rFonts w:hint="eastAsia" w:ascii="宋体" w:hAnsi="宋体" w:eastAsia="宋体" w:cs="宋体"/>
                <w:sz w:val="24"/>
                <w:szCs w:val="24"/>
                <w:lang w:val="zh-CN"/>
              </w:rPr>
            </w:pPr>
            <w:r>
              <w:rPr>
                <w:rFonts w:hint="eastAsia" w:ascii="宋体" w:hAnsi="宋体" w:eastAsia="宋体" w:cs="宋体"/>
                <w:sz w:val="24"/>
                <w:szCs w:val="24"/>
              </w:rPr>
              <w:t>2</w:t>
            </w:r>
          </w:p>
        </w:tc>
        <w:tc>
          <w:tcPr>
            <w:tcW w:w="1968" w:type="dxa"/>
            <w:vAlign w:val="center"/>
          </w:tcPr>
          <w:p>
            <w:pPr>
              <w:spacing w:line="360" w:lineRule="auto"/>
              <w:jc w:val="left"/>
              <w:outlineLvl w:val="5"/>
              <w:rPr>
                <w:rFonts w:hint="eastAsia" w:ascii="宋体" w:hAnsi="宋体" w:eastAsia="宋体" w:cs="宋体"/>
                <w:sz w:val="24"/>
                <w:szCs w:val="24"/>
                <w:lang w:val="zh-CN"/>
              </w:rPr>
            </w:pPr>
            <w:r>
              <w:rPr>
                <w:rFonts w:hint="eastAsia" w:ascii="宋体" w:hAnsi="宋体" w:eastAsia="宋体" w:cs="宋体"/>
                <w:sz w:val="24"/>
                <w:szCs w:val="24"/>
                <w:lang w:val="zh-CN"/>
              </w:rPr>
              <w:t>采购项目名称</w:t>
            </w:r>
          </w:p>
        </w:tc>
        <w:tc>
          <w:tcPr>
            <w:tcW w:w="6966" w:type="dxa"/>
          </w:tcPr>
          <w:p>
            <w:pPr>
              <w:rPr>
                <w:rFonts w:hint="eastAsia" w:ascii="宋体" w:hAnsi="宋体" w:eastAsia="宋体" w:cs="宋体"/>
                <w:sz w:val="24"/>
                <w:szCs w:val="24"/>
                <w:lang w:val="zh-CN"/>
              </w:rPr>
            </w:pPr>
            <w:r>
              <w:rPr>
                <w:rFonts w:hint="eastAsia" w:ascii="宋体" w:hAnsi="宋体" w:eastAsia="宋体" w:cs="宋体"/>
                <w:bCs/>
                <w:sz w:val="24"/>
                <w:lang w:val="en-US" w:eastAsia="zh-CN"/>
              </w:rPr>
              <w:t>巴中市中医院新冠病毒核酸快速检测仪紧急采购项目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vAlign w:val="center"/>
          </w:tcPr>
          <w:p>
            <w:pPr>
              <w:spacing w:line="360" w:lineRule="auto"/>
              <w:jc w:val="center"/>
              <w:outlineLvl w:val="5"/>
              <w:rPr>
                <w:rFonts w:hint="eastAsia" w:ascii="宋体" w:hAnsi="宋体" w:eastAsia="宋体" w:cs="宋体"/>
                <w:sz w:val="24"/>
                <w:szCs w:val="24"/>
                <w:lang w:val="zh-CN"/>
              </w:rPr>
            </w:pPr>
            <w:r>
              <w:rPr>
                <w:rFonts w:hint="eastAsia" w:ascii="宋体" w:hAnsi="宋体" w:eastAsia="宋体" w:cs="宋体"/>
                <w:sz w:val="24"/>
                <w:szCs w:val="24"/>
              </w:rPr>
              <w:t>3</w:t>
            </w:r>
          </w:p>
        </w:tc>
        <w:tc>
          <w:tcPr>
            <w:tcW w:w="1968" w:type="dxa"/>
            <w:vAlign w:val="center"/>
          </w:tcPr>
          <w:p>
            <w:pPr>
              <w:spacing w:line="360" w:lineRule="auto"/>
              <w:jc w:val="left"/>
              <w:outlineLvl w:val="5"/>
              <w:rPr>
                <w:rFonts w:hint="eastAsia" w:ascii="宋体" w:hAnsi="宋体" w:eastAsia="宋体" w:cs="宋体"/>
                <w:sz w:val="24"/>
                <w:szCs w:val="24"/>
                <w:lang w:val="zh-CN"/>
              </w:rPr>
            </w:pPr>
            <w:r>
              <w:rPr>
                <w:rFonts w:hint="eastAsia" w:ascii="宋体" w:hAnsi="宋体" w:eastAsia="宋体" w:cs="宋体"/>
                <w:sz w:val="24"/>
                <w:szCs w:val="24"/>
                <w:lang w:val="zh-CN"/>
              </w:rPr>
              <w:t>比选文件编制</w:t>
            </w:r>
          </w:p>
        </w:tc>
        <w:tc>
          <w:tcPr>
            <w:tcW w:w="6966" w:type="dxa"/>
            <w:vAlign w:val="center"/>
          </w:tcPr>
          <w:p>
            <w:pPr>
              <w:spacing w:line="360" w:lineRule="auto"/>
              <w:outlineLvl w:val="5"/>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eastAsia="zh-CN"/>
              </w:rPr>
              <w:t>巴中市中医院</w:t>
            </w:r>
            <w:r>
              <w:rPr>
                <w:rFonts w:hint="eastAsia" w:ascii="宋体" w:hAnsi="宋体" w:eastAsia="宋体" w:cs="宋体"/>
                <w:sz w:val="24"/>
                <w:szCs w:val="24"/>
              </w:rPr>
              <w:t>编制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vMerge w:val="restart"/>
            <w:vAlign w:val="center"/>
          </w:tcPr>
          <w:p>
            <w:pPr>
              <w:spacing w:line="360" w:lineRule="auto"/>
              <w:jc w:val="center"/>
              <w:outlineLvl w:val="5"/>
              <w:rPr>
                <w:rFonts w:hint="eastAsia" w:ascii="宋体" w:hAnsi="宋体" w:eastAsia="宋体" w:cs="宋体"/>
                <w:sz w:val="24"/>
                <w:szCs w:val="24"/>
                <w:lang w:val="zh-CN"/>
              </w:rPr>
            </w:pPr>
            <w:r>
              <w:rPr>
                <w:rFonts w:hint="eastAsia" w:ascii="宋体" w:hAnsi="宋体" w:eastAsia="宋体" w:cs="宋体"/>
                <w:sz w:val="24"/>
                <w:szCs w:val="24"/>
              </w:rPr>
              <w:t>4</w:t>
            </w:r>
          </w:p>
        </w:tc>
        <w:tc>
          <w:tcPr>
            <w:tcW w:w="1968" w:type="dxa"/>
            <w:tcBorders>
              <w:bottom w:val="single" w:color="auto" w:sz="4" w:space="0"/>
            </w:tcBorders>
            <w:vAlign w:val="center"/>
          </w:tcPr>
          <w:p>
            <w:pPr>
              <w:spacing w:line="360" w:lineRule="auto"/>
              <w:jc w:val="left"/>
              <w:outlineLvl w:val="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p>
            <w:pPr>
              <w:spacing w:line="360" w:lineRule="auto"/>
              <w:jc w:val="left"/>
              <w:outlineLvl w:val="5"/>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（实质性要求）</w:t>
            </w:r>
          </w:p>
        </w:tc>
        <w:tc>
          <w:tcPr>
            <w:tcW w:w="6966" w:type="dxa"/>
            <w:tcBorders>
              <w:bottom w:val="single" w:color="auto" w:sz="4" w:space="0"/>
            </w:tcBorders>
            <w:vAlign w:val="center"/>
          </w:tcPr>
          <w:p>
            <w:pPr>
              <w:spacing w:line="360" w:lineRule="auto"/>
              <w:ind w:firstLine="240" w:firstLineChars="100"/>
              <w:jc w:val="left"/>
              <w:outlineLvl w:val="5"/>
              <w:rPr>
                <w:rFonts w:hint="eastAsia" w:ascii="宋体" w:hAnsi="宋体" w:eastAsia="宋体" w:cs="宋体"/>
                <w:color w:val="auto"/>
                <w:sz w:val="24"/>
                <w:szCs w:val="24"/>
              </w:rPr>
            </w:pPr>
            <w:r>
              <w:rPr>
                <w:rFonts w:hint="eastAsia" w:hAnsi="宋体" w:cs="宋体"/>
                <w:color w:val="auto"/>
                <w:sz w:val="24"/>
                <w:szCs w:val="24"/>
                <w:lang w:val="en-US" w:eastAsia="zh-CN"/>
              </w:rPr>
              <w:t>9.0</w:t>
            </w:r>
            <w:r>
              <w:rPr>
                <w:rFonts w:hint="eastAsia" w:ascii="宋体" w:hAnsi="宋体" w:eastAsia="宋体" w:cs="宋体"/>
                <w:color w:val="auto"/>
                <w:sz w:val="24"/>
                <w:szCs w:val="24"/>
              </w:rPr>
              <w:t>万元；</w:t>
            </w:r>
          </w:p>
          <w:p>
            <w:pPr>
              <w:spacing w:line="360" w:lineRule="auto"/>
              <w:jc w:val="left"/>
              <w:outlineLvl w:val="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超过采购预算的比选为无效比选。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vMerge w:val="continue"/>
            <w:vAlign w:val="center"/>
          </w:tcPr>
          <w:p>
            <w:pPr>
              <w:spacing w:line="360" w:lineRule="auto"/>
              <w:jc w:val="center"/>
              <w:outlineLvl w:val="5"/>
              <w:rPr>
                <w:rFonts w:hint="eastAsia" w:ascii="宋体" w:hAnsi="宋体" w:eastAsia="宋体" w:cs="宋体"/>
                <w:sz w:val="24"/>
                <w:szCs w:val="24"/>
                <w:lang w:val="zh-CN"/>
              </w:rPr>
            </w:pPr>
          </w:p>
        </w:tc>
        <w:tc>
          <w:tcPr>
            <w:tcW w:w="1968" w:type="dxa"/>
            <w:tcBorders>
              <w:top w:val="single" w:color="auto" w:sz="4" w:space="0"/>
            </w:tcBorders>
            <w:vAlign w:val="center"/>
          </w:tcPr>
          <w:p>
            <w:pPr>
              <w:spacing w:line="360" w:lineRule="auto"/>
              <w:jc w:val="left"/>
              <w:outlineLvl w:val="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项目最高限价</w:t>
            </w:r>
          </w:p>
          <w:p>
            <w:pPr>
              <w:spacing w:line="360" w:lineRule="auto"/>
              <w:jc w:val="left"/>
              <w:outlineLvl w:val="5"/>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（实质性要求）</w:t>
            </w:r>
          </w:p>
        </w:tc>
        <w:tc>
          <w:tcPr>
            <w:tcW w:w="6966" w:type="dxa"/>
            <w:tcBorders>
              <w:top w:val="single" w:color="auto" w:sz="4" w:space="0"/>
            </w:tcBorders>
          </w:tcPr>
          <w:p>
            <w:pPr>
              <w:spacing w:line="360" w:lineRule="auto"/>
              <w:jc w:val="left"/>
              <w:outlineLvl w:val="5"/>
              <w:rPr>
                <w:rFonts w:hint="eastAsia" w:ascii="宋体" w:hAnsi="宋体" w:eastAsia="宋体" w:cs="宋体"/>
                <w:color w:val="auto"/>
                <w:sz w:val="24"/>
                <w:szCs w:val="24"/>
              </w:rPr>
            </w:pPr>
            <w:r>
              <w:rPr>
                <w:rFonts w:hint="eastAsia" w:ascii="宋体" w:hAnsi="宋体" w:eastAsia="宋体" w:cs="宋体"/>
                <w:color w:val="auto"/>
                <w:sz w:val="24"/>
                <w:szCs w:val="24"/>
              </w:rPr>
              <w:t>最高限价为：</w:t>
            </w:r>
            <w:r>
              <w:rPr>
                <w:rFonts w:hint="eastAsia" w:hAnsi="宋体" w:cs="宋体"/>
                <w:color w:val="auto"/>
                <w:sz w:val="24"/>
                <w:szCs w:val="24"/>
                <w:lang w:val="en-US" w:eastAsia="zh-CN"/>
              </w:rPr>
              <w:t>9.0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万元。</w:t>
            </w:r>
          </w:p>
          <w:p>
            <w:pPr>
              <w:pStyle w:val="2"/>
              <w:rPr>
                <w:rFonts w:hint="eastAsia" w:ascii="宋体" w:hAnsi="宋体" w:eastAsia="宋体" w:cs="宋体"/>
                <w:color w:val="auto"/>
                <w:sz w:val="24"/>
                <w:szCs w:val="24"/>
              </w:rPr>
            </w:pPr>
            <w:r>
              <w:rPr>
                <w:rFonts w:hint="eastAsia" w:ascii="宋体" w:hAnsi="宋体" w:eastAsia="宋体" w:cs="宋体"/>
                <w:color w:val="auto"/>
                <w:sz w:val="24"/>
                <w:szCs w:val="24"/>
              </w:rPr>
              <w:t>超过最高限价的报价为无效报价。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vAlign w:val="center"/>
          </w:tcPr>
          <w:p>
            <w:pPr>
              <w:spacing w:line="360" w:lineRule="auto"/>
              <w:jc w:val="center"/>
              <w:outlineLvl w:val="5"/>
              <w:rPr>
                <w:rFonts w:hint="eastAsia" w:ascii="宋体" w:hAnsi="宋体" w:eastAsia="宋体" w:cs="宋体"/>
                <w:sz w:val="24"/>
                <w:szCs w:val="24"/>
                <w:lang w:val="zh-CN"/>
              </w:rPr>
            </w:pPr>
            <w:r>
              <w:rPr>
                <w:rFonts w:hint="eastAsia" w:ascii="宋体" w:hAnsi="宋体" w:eastAsia="宋体" w:cs="宋体"/>
                <w:sz w:val="24"/>
                <w:szCs w:val="24"/>
              </w:rPr>
              <w:t>5</w:t>
            </w:r>
          </w:p>
        </w:tc>
        <w:tc>
          <w:tcPr>
            <w:tcW w:w="1968" w:type="dxa"/>
            <w:vAlign w:val="center"/>
          </w:tcPr>
          <w:p>
            <w:pPr>
              <w:spacing w:line="360" w:lineRule="auto"/>
              <w:jc w:val="left"/>
              <w:outlineLvl w:val="5"/>
              <w:rPr>
                <w:rFonts w:hint="eastAsia" w:ascii="宋体" w:hAnsi="宋体" w:eastAsia="宋体" w:cs="宋体"/>
                <w:sz w:val="24"/>
                <w:szCs w:val="24"/>
                <w:lang w:val="zh-CN"/>
              </w:rPr>
            </w:pPr>
            <w:r>
              <w:rPr>
                <w:rFonts w:hint="eastAsia" w:ascii="宋体" w:hAnsi="宋体" w:eastAsia="宋体" w:cs="宋体"/>
                <w:sz w:val="24"/>
                <w:szCs w:val="24"/>
                <w:lang w:val="zh-CN"/>
              </w:rPr>
              <w:t>采购方式</w:t>
            </w:r>
          </w:p>
        </w:tc>
        <w:tc>
          <w:tcPr>
            <w:tcW w:w="6966" w:type="dxa"/>
            <w:vAlign w:val="center"/>
          </w:tcPr>
          <w:p>
            <w:pPr>
              <w:spacing w:line="360" w:lineRule="auto"/>
              <w:outlineLvl w:val="5"/>
              <w:rPr>
                <w:rFonts w:hint="eastAsia" w:ascii="宋体" w:hAnsi="宋体" w:eastAsia="宋体" w:cs="宋体"/>
                <w:sz w:val="24"/>
                <w:szCs w:val="24"/>
                <w:lang w:val="zh-CN"/>
              </w:rPr>
            </w:pPr>
            <w:r>
              <w:rPr>
                <w:rFonts w:hint="eastAsia" w:ascii="宋体" w:hAnsi="宋体" w:eastAsia="宋体" w:cs="宋体"/>
                <w:sz w:val="24"/>
                <w:szCs w:val="24"/>
                <w:lang w:val="zh-CN"/>
              </w:rPr>
              <w:t>比选采购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tcBorders>
              <w:bottom w:val="single" w:color="auto" w:sz="4" w:space="0"/>
            </w:tcBorders>
            <w:vAlign w:val="center"/>
          </w:tcPr>
          <w:p>
            <w:pPr>
              <w:spacing w:line="360" w:lineRule="auto"/>
              <w:jc w:val="center"/>
              <w:outlineLvl w:val="5"/>
              <w:rPr>
                <w:rFonts w:hint="eastAsia" w:ascii="宋体" w:hAnsi="宋体" w:eastAsia="宋体" w:cs="宋体"/>
                <w:sz w:val="24"/>
                <w:szCs w:val="24"/>
                <w:lang w:val="zh-CN"/>
              </w:rPr>
            </w:pPr>
            <w:r>
              <w:rPr>
                <w:rFonts w:hint="eastAsia" w:ascii="宋体" w:hAnsi="宋体" w:eastAsia="宋体" w:cs="宋体"/>
                <w:sz w:val="24"/>
                <w:szCs w:val="24"/>
              </w:rPr>
              <w:t>6</w:t>
            </w:r>
          </w:p>
        </w:tc>
        <w:tc>
          <w:tcPr>
            <w:tcW w:w="1968" w:type="dxa"/>
            <w:tcBorders>
              <w:bottom w:val="single" w:color="auto" w:sz="4" w:space="0"/>
            </w:tcBorders>
            <w:vAlign w:val="center"/>
          </w:tcPr>
          <w:p>
            <w:pPr>
              <w:spacing w:line="360" w:lineRule="auto"/>
              <w:jc w:val="left"/>
              <w:outlineLvl w:val="5"/>
              <w:rPr>
                <w:rFonts w:hint="eastAsia" w:ascii="宋体" w:hAnsi="宋体" w:eastAsia="宋体" w:cs="宋体"/>
                <w:sz w:val="24"/>
                <w:szCs w:val="24"/>
                <w:lang w:val="zh-CN"/>
              </w:rPr>
            </w:pPr>
            <w:r>
              <w:rPr>
                <w:rFonts w:hint="eastAsia" w:ascii="宋体" w:hAnsi="宋体" w:eastAsia="宋体" w:cs="宋体"/>
                <w:sz w:val="24"/>
                <w:szCs w:val="24"/>
                <w:lang w:val="zh-CN"/>
              </w:rPr>
              <w:t>评标方法</w:t>
            </w:r>
          </w:p>
        </w:tc>
        <w:tc>
          <w:tcPr>
            <w:tcW w:w="6966" w:type="dxa"/>
            <w:tcBorders>
              <w:bottom w:val="single" w:color="auto" w:sz="4" w:space="0"/>
            </w:tcBorders>
            <w:vAlign w:val="center"/>
          </w:tcPr>
          <w:p>
            <w:pPr>
              <w:spacing w:line="360" w:lineRule="auto"/>
              <w:outlineLvl w:val="5"/>
              <w:rPr>
                <w:rFonts w:hint="eastAsia" w:ascii="宋体" w:hAnsi="宋体" w:eastAsia="宋体" w:cs="宋体"/>
                <w:sz w:val="24"/>
                <w:szCs w:val="24"/>
                <w:lang w:val="zh-CN"/>
              </w:rPr>
            </w:pPr>
            <w:r>
              <w:rPr>
                <w:rFonts w:hint="eastAsia" w:ascii="宋体" w:hAnsi="宋体" w:eastAsia="宋体" w:cs="宋体"/>
                <w:sz w:val="24"/>
                <w:szCs w:val="24"/>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465" w:type="dxa"/>
            <w:tcBorders>
              <w:top w:val="single" w:color="auto" w:sz="4" w:space="0"/>
              <w:bottom w:val="single" w:color="auto" w:sz="4" w:space="0"/>
            </w:tcBorders>
            <w:vAlign w:val="center"/>
          </w:tcPr>
          <w:p>
            <w:pPr>
              <w:spacing w:line="360" w:lineRule="auto"/>
              <w:jc w:val="center"/>
              <w:outlineLvl w:val="5"/>
              <w:rPr>
                <w:rFonts w:hint="eastAsia" w:ascii="宋体" w:hAnsi="宋体" w:eastAsia="宋体" w:cs="宋体"/>
                <w:sz w:val="24"/>
                <w:szCs w:val="24"/>
              </w:rPr>
            </w:pPr>
            <w:r>
              <w:rPr>
                <w:rFonts w:hint="eastAsia" w:ascii="宋体" w:hAnsi="宋体" w:eastAsia="宋体" w:cs="宋体"/>
                <w:sz w:val="24"/>
                <w:szCs w:val="24"/>
              </w:rPr>
              <w:t>12</w:t>
            </w:r>
          </w:p>
        </w:tc>
        <w:tc>
          <w:tcPr>
            <w:tcW w:w="1968" w:type="dxa"/>
            <w:tcBorders>
              <w:top w:val="single" w:color="auto" w:sz="4" w:space="0"/>
              <w:bottom w:val="single" w:color="auto" w:sz="4" w:space="0"/>
            </w:tcBorders>
            <w:vAlign w:val="center"/>
          </w:tcPr>
          <w:p>
            <w:pPr>
              <w:pStyle w:val="26"/>
              <w:spacing w:line="360" w:lineRule="auto"/>
              <w:rPr>
                <w:rFonts w:hint="eastAsia" w:ascii="宋体" w:hAnsi="宋体" w:eastAsia="宋体" w:cs="宋体"/>
                <w:kern w:val="2"/>
              </w:rPr>
            </w:pPr>
            <w:r>
              <w:rPr>
                <w:rFonts w:hint="eastAsia" w:ascii="宋体" w:hAnsi="宋体" w:eastAsia="宋体" w:cs="宋体"/>
                <w:kern w:val="2"/>
              </w:rPr>
              <w:t>比选文件、开评标工作咨询咨询</w:t>
            </w:r>
          </w:p>
        </w:tc>
        <w:tc>
          <w:tcPr>
            <w:tcW w:w="6966" w:type="dxa"/>
            <w:tcBorders>
              <w:top w:val="single" w:color="auto" w:sz="4" w:space="0"/>
              <w:bottom w:val="single" w:color="auto" w:sz="4" w:space="0"/>
            </w:tcBorders>
          </w:tcPr>
          <w:p>
            <w:pPr>
              <w:spacing w:line="360" w:lineRule="auto"/>
              <w:ind w:right="170" w:rightChars="50"/>
              <w:rPr>
                <w:rFonts w:hint="eastAsia" w:ascii="宋体" w:hAnsi="宋体" w:eastAsia="宋体" w:cs="宋体"/>
                <w:sz w:val="24"/>
                <w:szCs w:val="24"/>
              </w:rPr>
            </w:pPr>
            <w:r>
              <w:rPr>
                <w:rFonts w:hint="eastAsia" w:ascii="宋体" w:hAnsi="宋体" w:eastAsia="宋体" w:cs="宋体"/>
                <w:sz w:val="24"/>
                <w:szCs w:val="24"/>
              </w:rPr>
              <w:t>联 系 人：</w:t>
            </w:r>
            <w:r>
              <w:rPr>
                <w:rFonts w:hint="eastAsia" w:hAnsi="宋体" w:cs="宋体"/>
                <w:sz w:val="24"/>
                <w:szCs w:val="24"/>
                <w:lang w:val="en-US" w:eastAsia="zh-CN"/>
              </w:rPr>
              <w:t>李</w:t>
            </w:r>
            <w:r>
              <w:rPr>
                <w:rFonts w:hint="eastAsia" w:ascii="宋体" w:hAnsi="宋体" w:eastAsia="宋体" w:cs="宋体"/>
                <w:sz w:val="24"/>
                <w:szCs w:val="24"/>
              </w:rPr>
              <w:t>老师</w:t>
            </w:r>
          </w:p>
          <w:p>
            <w:pPr>
              <w:spacing w:line="360" w:lineRule="auto"/>
              <w:ind w:right="170" w:rightChars="5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hAnsi="宋体" w:cs="宋体"/>
                <w:sz w:val="24"/>
                <w:szCs w:val="24"/>
                <w:lang w:val="en-US" w:eastAsia="zh-CN"/>
              </w:rPr>
              <w:t>13518470918</w:t>
            </w:r>
          </w:p>
        </w:tc>
      </w:tr>
      <w:bookmarkEnd w:id="12"/>
      <w:bookmarkEnd w:id="13"/>
      <w:bookmarkEnd w:id="14"/>
      <w:bookmarkEnd w:id="15"/>
    </w:tbl>
    <w:p>
      <w:pPr>
        <w:pStyle w:val="2"/>
        <w:rPr>
          <w:rFonts w:hint="eastAsia" w:ascii="宋体" w:hAnsi="宋体" w:eastAsia="宋体" w:cs="宋体"/>
        </w:rPr>
      </w:pPr>
      <w:bookmarkStart w:id="26" w:name="_Toc77400778"/>
      <w:bookmarkStart w:id="27" w:name="_Toc217446033"/>
      <w:bookmarkStart w:id="28" w:name="_Toc183682341"/>
      <w:bookmarkStart w:id="29" w:name="_Toc25712"/>
      <w:bookmarkStart w:id="30" w:name="_Toc7438"/>
      <w:bookmarkStart w:id="31" w:name="_Toc89075873"/>
      <w:bookmarkStart w:id="32" w:name="_Toc183582204"/>
    </w:p>
    <w:p>
      <w:pPr>
        <w:pStyle w:val="5"/>
        <w:rPr>
          <w:rFonts w:hint="eastAsia" w:ascii="宋体" w:hAnsi="宋体" w:eastAsia="宋体" w:cs="宋体"/>
        </w:rPr>
      </w:pPr>
      <w:r>
        <w:rPr>
          <w:rFonts w:hint="eastAsia" w:ascii="宋体" w:hAnsi="宋体" w:eastAsia="宋体" w:cs="宋体"/>
        </w:rPr>
        <w:t>二、总  则</w:t>
      </w:r>
      <w:bookmarkEnd w:id="26"/>
      <w:bookmarkEnd w:id="27"/>
      <w:bookmarkEnd w:id="28"/>
      <w:bookmarkEnd w:id="29"/>
      <w:bookmarkEnd w:id="30"/>
      <w:bookmarkEnd w:id="31"/>
      <w:bookmarkEnd w:id="32"/>
    </w:p>
    <w:p>
      <w:pPr>
        <w:pStyle w:val="6"/>
        <w:spacing w:line="360" w:lineRule="auto"/>
        <w:ind w:firstLine="482"/>
        <w:rPr>
          <w:rFonts w:hint="eastAsia" w:ascii="宋体" w:hAnsi="宋体" w:eastAsia="宋体" w:cs="宋体"/>
        </w:rPr>
      </w:pPr>
      <w:bookmarkStart w:id="33" w:name="_Toc183682342"/>
      <w:bookmarkStart w:id="34" w:name="_Toc183582205"/>
      <w:bookmarkStart w:id="35" w:name="_Toc217446034"/>
      <w:r>
        <w:rPr>
          <w:rFonts w:hint="eastAsia" w:ascii="宋体" w:hAnsi="宋体" w:eastAsia="宋体" w:cs="宋体"/>
        </w:rPr>
        <w:t>1.</w:t>
      </w:r>
      <w:bookmarkEnd w:id="33"/>
      <w:bookmarkEnd w:id="34"/>
      <w:r>
        <w:rPr>
          <w:rFonts w:hint="eastAsia" w:ascii="宋体" w:hAnsi="宋体" w:eastAsia="宋体" w:cs="宋体"/>
        </w:rPr>
        <w:t xml:space="preserve"> 适用范围</w:t>
      </w:r>
      <w:bookmarkEnd w:id="35"/>
    </w:p>
    <w:p>
      <w:pPr>
        <w:tabs>
          <w:tab w:val="left" w:pos="7665"/>
        </w:tabs>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1.1 1.1 本比选文件仅适用于本次比选采购项目。</w:t>
      </w:r>
    </w:p>
    <w:p>
      <w:pPr>
        <w:pStyle w:val="6"/>
        <w:spacing w:line="360" w:lineRule="auto"/>
        <w:ind w:firstLine="482"/>
        <w:rPr>
          <w:rFonts w:hint="eastAsia" w:ascii="宋体" w:hAnsi="宋体" w:eastAsia="宋体" w:cs="宋体"/>
        </w:rPr>
      </w:pPr>
      <w:bookmarkStart w:id="36" w:name="_Toc183582206"/>
      <w:bookmarkStart w:id="37" w:name="_Toc183682343"/>
      <w:bookmarkStart w:id="38" w:name="_Toc217446035"/>
      <w:r>
        <w:rPr>
          <w:rFonts w:hint="eastAsia" w:ascii="宋体" w:hAnsi="宋体" w:eastAsia="宋体" w:cs="宋体"/>
        </w:rPr>
        <w:t xml:space="preserve">2. </w:t>
      </w:r>
      <w:bookmarkEnd w:id="36"/>
      <w:bookmarkEnd w:id="37"/>
      <w:r>
        <w:rPr>
          <w:rFonts w:hint="eastAsia" w:ascii="宋体" w:hAnsi="宋体" w:eastAsia="宋体" w:cs="宋体"/>
        </w:rPr>
        <w:t>有关定义</w:t>
      </w:r>
      <w:bookmarkEnd w:id="38"/>
    </w:p>
    <w:p>
      <w:pPr>
        <w:tabs>
          <w:tab w:val="left" w:pos="7665"/>
        </w:tabs>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2.1 “采购人”系指依法进行采购的国家机关、事业单位、团体组织。本次招标的采购人是</w:t>
      </w:r>
      <w:r>
        <w:rPr>
          <w:rFonts w:hint="eastAsia" w:ascii="宋体" w:hAnsi="宋体" w:eastAsia="宋体" w:cs="宋体"/>
          <w:sz w:val="24"/>
          <w:u w:val="single"/>
          <w:lang w:eastAsia="zh-CN"/>
        </w:rPr>
        <w:t>巴中市中医院</w:t>
      </w:r>
      <w:r>
        <w:rPr>
          <w:rFonts w:hint="eastAsia" w:ascii="宋体" w:hAnsi="宋体" w:eastAsia="宋体" w:cs="宋体"/>
          <w:sz w:val="24"/>
        </w:rPr>
        <w:t>。</w:t>
      </w:r>
    </w:p>
    <w:p>
      <w:pPr>
        <w:tabs>
          <w:tab w:val="left" w:pos="7665"/>
        </w:tabs>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2.2 “供应商”系指购买了比选文件拟参加比选和向采购人提供货物及相应服务的供应商。</w:t>
      </w:r>
      <w:bookmarkStart w:id="39" w:name="_Toc183582207"/>
      <w:bookmarkStart w:id="40" w:name="_Toc183682344"/>
      <w:bookmarkStart w:id="41" w:name="_Toc217390843"/>
      <w:bookmarkStart w:id="42" w:name="_Toc217446036"/>
    </w:p>
    <w:bookmarkEnd w:id="39"/>
    <w:bookmarkEnd w:id="40"/>
    <w:bookmarkEnd w:id="41"/>
    <w:bookmarkEnd w:id="42"/>
    <w:p>
      <w:pPr>
        <w:pStyle w:val="6"/>
        <w:ind w:firstLine="482"/>
        <w:jc w:val="center"/>
        <w:rPr>
          <w:rFonts w:hint="eastAsia" w:ascii="宋体" w:hAnsi="宋体" w:eastAsia="宋体" w:cs="宋体"/>
        </w:rPr>
      </w:pPr>
      <w:bookmarkStart w:id="43" w:name="_Toc217446074"/>
      <w:bookmarkStart w:id="44" w:name="_Toc183682380"/>
      <w:bookmarkStart w:id="45" w:name="_Toc183582243"/>
      <w:bookmarkStart w:id="46" w:name="_Toc217446081"/>
      <w:r>
        <w:rPr>
          <w:rFonts w:hint="eastAsia" w:ascii="宋体" w:hAnsi="宋体" w:eastAsia="宋体" w:cs="宋体"/>
        </w:rPr>
        <w:t>三、比选文件</w:t>
      </w:r>
    </w:p>
    <w:p>
      <w:pPr>
        <w:pStyle w:val="6"/>
        <w:spacing w:line="360" w:lineRule="auto"/>
        <w:ind w:firstLine="0" w:firstLineChars="0"/>
        <w:rPr>
          <w:rFonts w:hint="eastAsia" w:ascii="宋体" w:hAnsi="宋体" w:eastAsia="宋体" w:cs="宋体"/>
          <w:szCs w:val="22"/>
        </w:rPr>
      </w:pPr>
      <w:bookmarkStart w:id="47" w:name="_Toc183682347"/>
      <w:bookmarkStart w:id="48" w:name="_Toc217446039"/>
      <w:bookmarkStart w:id="49" w:name="_Toc183582210"/>
      <w:r>
        <w:rPr>
          <w:rFonts w:hint="eastAsia" w:ascii="宋体" w:hAnsi="宋体" w:eastAsia="宋体" w:cs="宋体"/>
          <w:szCs w:val="22"/>
        </w:rPr>
        <w:t>6．比选文件的构成</w:t>
      </w:r>
      <w:bookmarkEnd w:id="47"/>
      <w:bookmarkEnd w:id="48"/>
      <w:bookmarkEnd w:id="49"/>
    </w:p>
    <w:p>
      <w:pPr>
        <w:tabs>
          <w:tab w:val="left" w:pos="7665"/>
        </w:tabs>
        <w:snapToGrid w:val="0"/>
        <w:spacing w:line="360" w:lineRule="auto"/>
        <w:outlineLvl w:val="5"/>
        <w:rPr>
          <w:rFonts w:hint="eastAsia" w:ascii="宋体" w:hAnsi="宋体" w:eastAsia="宋体" w:cs="宋体"/>
          <w:sz w:val="24"/>
        </w:rPr>
      </w:pPr>
      <w:r>
        <w:rPr>
          <w:rFonts w:hint="eastAsia" w:ascii="宋体" w:hAnsi="宋体" w:eastAsia="宋体" w:cs="宋体"/>
          <w:sz w:val="24"/>
        </w:rPr>
        <w:t xml:space="preserve">    6.1 比选文件是供应商准备比选响应文件和参加比选的依据，同时也是比选的重要依据，具有准法律文件性质。比选文件用以阐明招标项目所需的资质、技术、服务及报价等要求、比选程序、有关规定和注意事项以及合同主要条款等。本比选文件包括以下内容：</w:t>
      </w:r>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（一）比选邀请；</w:t>
      </w:r>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（二）供应商须知；</w:t>
      </w:r>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（三）比选文件格式；</w:t>
      </w:r>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（四）供应商和投标产品的资格、资质性及其他类似效力要求；</w:t>
      </w:r>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（五）供应商应当提供的资格、资质性及其他类似效力要求的相关证明材料；</w:t>
      </w:r>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（六）本项目技术、服务、采购履约主要条款及其他要求条款</w:t>
      </w:r>
    </w:p>
    <w:p>
      <w:pPr>
        <w:tabs>
          <w:tab w:val="left" w:pos="720"/>
          <w:tab w:val="left" w:pos="6575"/>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（七）评标办法；</w:t>
      </w:r>
      <w:r>
        <w:rPr>
          <w:rFonts w:hint="eastAsia" w:ascii="宋体" w:hAnsi="宋体" w:eastAsia="宋体" w:cs="宋体"/>
          <w:sz w:val="24"/>
        </w:rPr>
        <w:tab/>
      </w:r>
      <w:r>
        <w:rPr>
          <w:rFonts w:hint="eastAsia" w:ascii="宋体" w:hAnsi="宋体" w:eastAsia="宋体" w:cs="宋体"/>
          <w:sz w:val="24"/>
        </w:rPr>
        <w:tab/>
      </w:r>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（八）采购合同（草案）。</w:t>
      </w:r>
    </w:p>
    <w:p>
      <w:pPr>
        <w:tabs>
          <w:tab w:val="left" w:pos="7665"/>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6.2 供应商应认真阅读和充分理解比选文件中所有的事项、格式条款和规范要求。供应商没有对比选文件全面做出实质性响应是供应商的风险。没有按照比选文件要求作出实质性响应的比选响应文件将被拒绝。</w:t>
      </w:r>
    </w:p>
    <w:p>
      <w:pPr>
        <w:pStyle w:val="6"/>
        <w:spacing w:line="360" w:lineRule="auto"/>
        <w:ind w:firstLine="0" w:firstLineChars="0"/>
        <w:rPr>
          <w:rFonts w:hint="eastAsia" w:ascii="宋体" w:hAnsi="宋体" w:eastAsia="宋体" w:cs="宋体"/>
          <w:szCs w:val="22"/>
        </w:rPr>
      </w:pPr>
      <w:bookmarkStart w:id="50" w:name="_Toc183682348"/>
      <w:bookmarkStart w:id="51" w:name="_Toc183582211"/>
      <w:bookmarkStart w:id="52" w:name="_Toc217446040"/>
      <w:r>
        <w:rPr>
          <w:rFonts w:hint="eastAsia" w:ascii="宋体" w:hAnsi="宋体" w:eastAsia="宋体" w:cs="宋体"/>
          <w:szCs w:val="22"/>
        </w:rPr>
        <w:t>7. 比选文件的澄清</w:t>
      </w:r>
      <w:bookmarkEnd w:id="50"/>
      <w:bookmarkEnd w:id="51"/>
      <w:r>
        <w:rPr>
          <w:rFonts w:hint="eastAsia" w:ascii="宋体" w:hAnsi="宋体" w:eastAsia="宋体" w:cs="宋体"/>
          <w:szCs w:val="22"/>
        </w:rPr>
        <w:t>和修改</w:t>
      </w:r>
      <w:bookmarkEnd w:id="52"/>
    </w:p>
    <w:p>
      <w:pPr>
        <w:tabs>
          <w:tab w:val="left" w:pos="720"/>
        </w:tabs>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7.1招标采购单位可以依法对比选文件进行澄清或者修改。</w:t>
      </w:r>
    </w:p>
    <w:p>
      <w:pPr>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7.2 供应商认为需要对比选文件进行澄清或者修改的，可以以书面形式向招标采购单位提出申请，但招标采购单位可以决定是否采纳供应商的申请事项。</w:t>
      </w:r>
    </w:p>
    <w:p>
      <w:pPr>
        <w:pStyle w:val="6"/>
        <w:ind w:firstLine="482"/>
        <w:jc w:val="center"/>
        <w:rPr>
          <w:rFonts w:hint="eastAsia" w:ascii="宋体" w:hAnsi="宋体" w:eastAsia="宋体" w:cs="宋体"/>
        </w:rPr>
      </w:pPr>
      <w:bookmarkStart w:id="53" w:name="_Toc15488"/>
      <w:bookmarkStart w:id="54" w:name="_Toc183682351"/>
      <w:bookmarkStart w:id="55" w:name="_Toc32092"/>
      <w:bookmarkStart w:id="56" w:name="_Toc89075876"/>
      <w:bookmarkStart w:id="57" w:name="_Toc183582214"/>
      <w:bookmarkStart w:id="58" w:name="_Toc217446042"/>
      <w:bookmarkStart w:id="59" w:name="_Toc77400780"/>
      <w:r>
        <w:rPr>
          <w:rFonts w:hint="eastAsia" w:ascii="宋体" w:hAnsi="宋体" w:eastAsia="宋体" w:cs="宋体"/>
        </w:rPr>
        <w:t>四、比选响应文件</w:t>
      </w:r>
      <w:bookmarkEnd w:id="53"/>
      <w:bookmarkEnd w:id="54"/>
      <w:bookmarkEnd w:id="55"/>
      <w:bookmarkEnd w:id="56"/>
      <w:bookmarkEnd w:id="57"/>
      <w:bookmarkEnd w:id="58"/>
      <w:bookmarkEnd w:id="59"/>
    </w:p>
    <w:p>
      <w:pPr>
        <w:pStyle w:val="6"/>
        <w:spacing w:line="360" w:lineRule="auto"/>
        <w:ind w:firstLine="0" w:firstLineChars="0"/>
        <w:rPr>
          <w:rFonts w:hint="eastAsia" w:ascii="宋体" w:hAnsi="宋体" w:eastAsia="宋体" w:cs="宋体"/>
          <w:szCs w:val="22"/>
        </w:rPr>
      </w:pPr>
      <w:bookmarkStart w:id="60" w:name="_Toc183682354"/>
      <w:bookmarkStart w:id="61" w:name="_Toc217446048"/>
      <w:bookmarkStart w:id="62" w:name="_Toc183582217"/>
      <w:r>
        <w:rPr>
          <w:rFonts w:hint="eastAsia" w:ascii="宋体" w:hAnsi="宋体" w:eastAsia="宋体" w:cs="宋体"/>
          <w:szCs w:val="22"/>
        </w:rPr>
        <w:t>8．比选响应文件的组成</w:t>
      </w:r>
      <w:bookmarkEnd w:id="60"/>
      <w:bookmarkEnd w:id="61"/>
      <w:bookmarkEnd w:id="62"/>
    </w:p>
    <w:p>
      <w:pPr>
        <w:adjustRightInd w:val="0"/>
        <w:snapToGrid w:val="0"/>
        <w:spacing w:line="360" w:lineRule="auto"/>
        <w:ind w:firstLine="470" w:firstLineChars="196"/>
        <w:outlineLvl w:val="5"/>
        <w:rPr>
          <w:rFonts w:hint="eastAsia" w:ascii="宋体" w:hAnsi="宋体" w:eastAsia="宋体" w:cs="宋体"/>
          <w:sz w:val="24"/>
        </w:rPr>
      </w:pPr>
      <w:r>
        <w:rPr>
          <w:rFonts w:hint="eastAsia" w:ascii="宋体" w:hAnsi="宋体" w:eastAsia="宋体" w:cs="宋体"/>
          <w:sz w:val="24"/>
        </w:rPr>
        <w:t>供应商应按照比选文件的规定和要求编制比选响应文件。供应商拟在中标后将中标项目的非主体、非关键性工作交由他人完成的，应当在比选响应文件中载明。供应商编写的比选响应文件应包括下列部分：</w:t>
      </w:r>
    </w:p>
    <w:p>
      <w:pPr>
        <w:adjustRightInd w:val="0"/>
        <w:snapToGrid w:val="0"/>
        <w:spacing w:line="360" w:lineRule="auto"/>
        <w:ind w:firstLine="470" w:firstLineChars="196"/>
        <w:outlineLvl w:val="5"/>
        <w:rPr>
          <w:rFonts w:hint="eastAsia" w:ascii="宋体" w:hAnsi="宋体" w:eastAsia="宋体" w:cs="宋体"/>
          <w:sz w:val="24"/>
        </w:rPr>
      </w:pPr>
      <w:r>
        <w:rPr>
          <w:rFonts w:hint="eastAsia" w:ascii="宋体" w:hAnsi="宋体" w:eastAsia="宋体" w:cs="宋体"/>
          <w:sz w:val="24"/>
        </w:rPr>
        <w:t xml:space="preserve">8.1 报价部分。供应商按照比选文件要求填写的“报价表”。 </w:t>
      </w:r>
    </w:p>
    <w:p>
      <w:pPr>
        <w:adjustRightInd w:val="0"/>
        <w:snapToGrid w:val="0"/>
        <w:spacing w:line="360" w:lineRule="auto"/>
        <w:ind w:firstLine="470" w:firstLineChars="196"/>
        <w:outlineLvl w:val="5"/>
        <w:rPr>
          <w:rFonts w:hint="eastAsia" w:ascii="宋体" w:hAnsi="宋体" w:eastAsia="宋体" w:cs="宋体"/>
          <w:sz w:val="24"/>
        </w:rPr>
      </w:pPr>
      <w:r>
        <w:rPr>
          <w:rFonts w:hint="eastAsia" w:ascii="宋体" w:hAnsi="宋体" w:eastAsia="宋体" w:cs="宋体"/>
          <w:sz w:val="24"/>
        </w:rPr>
        <w:t>本次招标报价要求：</w:t>
      </w:r>
    </w:p>
    <w:p>
      <w:pPr>
        <w:adjustRightInd w:val="0"/>
        <w:snapToGrid w:val="0"/>
        <w:spacing w:line="360" w:lineRule="auto"/>
        <w:ind w:firstLine="470" w:firstLineChars="196"/>
        <w:outlineLvl w:val="5"/>
        <w:rPr>
          <w:rFonts w:hint="eastAsia" w:ascii="宋体" w:hAnsi="宋体" w:eastAsia="宋体" w:cs="宋体"/>
          <w:sz w:val="24"/>
        </w:rPr>
      </w:pPr>
      <w:r>
        <w:rPr>
          <w:rFonts w:hint="eastAsia" w:ascii="宋体" w:hAnsi="宋体" w:eastAsia="宋体" w:cs="宋体"/>
          <w:sz w:val="24"/>
        </w:rPr>
        <w:t>（1）供应商的报价是供应商响应招标项目要求的全部工作内容的价格体现，包括供应商完成本项目所需的一切费用。（实质性要求）</w:t>
      </w:r>
    </w:p>
    <w:p>
      <w:pPr>
        <w:adjustRightInd w:val="0"/>
        <w:snapToGrid w:val="0"/>
        <w:spacing w:line="360" w:lineRule="auto"/>
        <w:ind w:firstLine="470" w:firstLineChars="196"/>
        <w:outlineLvl w:val="5"/>
        <w:rPr>
          <w:rFonts w:hint="eastAsia" w:ascii="宋体" w:hAnsi="宋体" w:eastAsia="宋体" w:cs="宋体"/>
        </w:rPr>
      </w:pPr>
      <w:r>
        <w:rPr>
          <w:rFonts w:hint="eastAsia" w:ascii="宋体" w:hAnsi="宋体" w:eastAsia="宋体" w:cs="宋体"/>
          <w:sz w:val="24"/>
        </w:rPr>
        <w:t>（2）供应商每种货物只允许有一个报价，并且在合同履行过程中是固定不变的，任何有选择或可调整的报价将不予接受，并按无效比选处理。（实质性要求）</w:t>
      </w:r>
    </w:p>
    <w:p>
      <w:pPr>
        <w:tabs>
          <w:tab w:val="left" w:pos="540"/>
        </w:tabs>
        <w:adjustRightInd w:val="0"/>
        <w:snapToGrid w:val="0"/>
        <w:spacing w:line="360" w:lineRule="auto"/>
        <w:ind w:firstLine="470" w:firstLineChars="196"/>
        <w:outlineLvl w:val="5"/>
        <w:rPr>
          <w:rFonts w:hint="eastAsia" w:ascii="宋体" w:hAnsi="宋体" w:eastAsia="宋体" w:cs="宋体"/>
          <w:sz w:val="24"/>
        </w:rPr>
      </w:pPr>
      <w:bookmarkStart w:id="63" w:name="_Toc217446049"/>
      <w:bookmarkStart w:id="64" w:name="_Toc183582218"/>
      <w:bookmarkStart w:id="65" w:name="_Toc183682355"/>
      <w:r>
        <w:rPr>
          <w:rFonts w:hint="eastAsia" w:ascii="宋体" w:hAnsi="宋体" w:eastAsia="宋体" w:cs="宋体"/>
          <w:sz w:val="24"/>
        </w:rPr>
        <w:t>8.2 技术部分。包括下列内容：</w:t>
      </w:r>
    </w:p>
    <w:p>
      <w:pPr>
        <w:tabs>
          <w:tab w:val="left" w:pos="540"/>
        </w:tabs>
        <w:adjustRightInd w:val="0"/>
        <w:snapToGrid w:val="0"/>
        <w:spacing w:line="360" w:lineRule="auto"/>
        <w:outlineLvl w:val="5"/>
        <w:rPr>
          <w:rFonts w:hint="eastAsia" w:ascii="宋体" w:hAnsi="宋体" w:eastAsia="宋体" w:cs="宋体"/>
          <w:sz w:val="24"/>
        </w:rPr>
      </w:pPr>
      <w:r>
        <w:rPr>
          <w:rFonts w:hint="eastAsia" w:ascii="宋体" w:hAnsi="宋体" w:eastAsia="宋体" w:cs="宋体"/>
          <w:sz w:val="24"/>
        </w:rPr>
        <w:t xml:space="preserve">   （1）投标产品的品牌、型号、配置；</w:t>
      </w:r>
    </w:p>
    <w:p>
      <w:pPr>
        <w:tabs>
          <w:tab w:val="left" w:pos="540"/>
        </w:tabs>
        <w:adjustRightInd w:val="0"/>
        <w:snapToGrid w:val="0"/>
        <w:spacing w:line="360" w:lineRule="auto"/>
        <w:outlineLvl w:val="5"/>
        <w:rPr>
          <w:rFonts w:hint="eastAsia" w:ascii="宋体" w:hAnsi="宋体" w:eastAsia="宋体" w:cs="宋体"/>
          <w:sz w:val="24"/>
        </w:rPr>
      </w:pPr>
      <w:r>
        <w:rPr>
          <w:rFonts w:hint="eastAsia" w:ascii="宋体" w:hAnsi="宋体" w:eastAsia="宋体" w:cs="宋体"/>
          <w:sz w:val="24"/>
        </w:rPr>
        <w:t xml:space="preserve">   （2）投标产品本身的详细的技术指标和参数（应当尽可能提供检测报告、产品使用说</w:t>
      </w:r>
    </w:p>
    <w:p>
      <w:pPr>
        <w:tabs>
          <w:tab w:val="left" w:pos="540"/>
        </w:tabs>
        <w:adjustRightInd w:val="0"/>
        <w:snapToGrid w:val="0"/>
        <w:spacing w:line="360" w:lineRule="auto"/>
        <w:outlineLvl w:val="5"/>
        <w:rPr>
          <w:rFonts w:hint="eastAsia" w:ascii="宋体" w:hAnsi="宋体" w:eastAsia="宋体" w:cs="宋体"/>
          <w:sz w:val="24"/>
        </w:rPr>
      </w:pPr>
      <w:r>
        <w:rPr>
          <w:rFonts w:hint="eastAsia" w:ascii="宋体" w:hAnsi="宋体" w:eastAsia="宋体" w:cs="宋体"/>
          <w:sz w:val="24"/>
        </w:rPr>
        <w:t>明书、采购人手册等材料予以佐证）；</w:t>
      </w:r>
    </w:p>
    <w:p>
      <w:pPr>
        <w:tabs>
          <w:tab w:val="left" w:pos="540"/>
        </w:tabs>
        <w:adjustRightInd w:val="0"/>
        <w:snapToGrid w:val="0"/>
        <w:spacing w:line="360" w:lineRule="auto"/>
        <w:outlineLvl w:val="5"/>
        <w:rPr>
          <w:rFonts w:hint="eastAsia" w:ascii="宋体" w:hAnsi="宋体" w:eastAsia="宋体" w:cs="宋体"/>
          <w:sz w:val="24"/>
        </w:rPr>
      </w:pPr>
      <w:r>
        <w:rPr>
          <w:rFonts w:hint="eastAsia" w:ascii="宋体" w:hAnsi="宋体" w:eastAsia="宋体" w:cs="宋体"/>
          <w:sz w:val="24"/>
        </w:rPr>
        <w:t xml:space="preserve">   （3）产品彩页资料或技术资料；</w:t>
      </w:r>
    </w:p>
    <w:p>
      <w:pPr>
        <w:adjustRightInd w:val="0"/>
        <w:snapToGrid w:val="0"/>
        <w:spacing w:line="360" w:lineRule="auto"/>
        <w:outlineLvl w:val="5"/>
        <w:rPr>
          <w:rFonts w:hint="eastAsia" w:ascii="宋体" w:hAnsi="宋体" w:eastAsia="宋体" w:cs="宋体"/>
          <w:sz w:val="24"/>
        </w:rPr>
      </w:pPr>
      <w:r>
        <w:rPr>
          <w:rFonts w:hint="eastAsia" w:ascii="宋体" w:hAnsi="宋体" w:eastAsia="宋体" w:cs="宋体"/>
          <w:sz w:val="24"/>
        </w:rPr>
        <w:t xml:space="preserve">   （4）供应商认为需要提供的其他文件和资料。</w:t>
      </w:r>
    </w:p>
    <w:p>
      <w:pPr>
        <w:adjustRightInd w:val="0"/>
        <w:snapToGrid w:val="0"/>
        <w:spacing w:line="360" w:lineRule="auto"/>
        <w:ind w:firstLine="470" w:firstLineChars="196"/>
        <w:outlineLvl w:val="5"/>
        <w:rPr>
          <w:rFonts w:hint="eastAsia" w:ascii="宋体" w:hAnsi="宋体" w:eastAsia="宋体" w:cs="宋体"/>
          <w:sz w:val="24"/>
        </w:rPr>
      </w:pPr>
      <w:r>
        <w:rPr>
          <w:rFonts w:hint="eastAsia" w:ascii="宋体" w:hAnsi="宋体" w:eastAsia="宋体" w:cs="宋体"/>
          <w:sz w:val="24"/>
        </w:rPr>
        <w:t>8.3 商务部分。供应商按照比选文件要求提供的有关证明材料及优惠承诺。包括以下内容：</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（1）供应商应当提供的资格、资质性及其他类似效力要求的相关证明材料；</w:t>
      </w:r>
    </w:p>
    <w:p>
      <w:pPr>
        <w:tabs>
          <w:tab w:val="left" w:pos="540"/>
        </w:tabs>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（2）其他供应商认为需要提供的文件和资料。</w:t>
      </w:r>
    </w:p>
    <w:p>
      <w:pPr>
        <w:pStyle w:val="6"/>
        <w:adjustRightInd w:val="0"/>
        <w:snapToGrid w:val="0"/>
        <w:spacing w:before="0" w:after="0" w:line="360" w:lineRule="auto"/>
        <w:ind w:firstLine="480"/>
        <w:rPr>
          <w:rFonts w:hint="eastAsia" w:ascii="宋体" w:hAnsi="宋体" w:eastAsia="宋体" w:cs="宋体"/>
          <w:b w:val="0"/>
          <w:bCs w:val="0"/>
          <w:szCs w:val="22"/>
        </w:rPr>
      </w:pPr>
      <w:r>
        <w:rPr>
          <w:rFonts w:hint="eastAsia" w:ascii="宋体" w:hAnsi="宋体" w:eastAsia="宋体" w:cs="宋体"/>
          <w:b w:val="0"/>
          <w:bCs w:val="0"/>
          <w:szCs w:val="22"/>
        </w:rPr>
        <w:t xml:space="preserve">8.4售后服务。供应商按照比选文件中售后服务要求作出的积极响应和承诺。包括以下内容：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（1）说明投标产品的保修时间、保修期内的保修内容与范围、维修响应时间等。分别提供产品制造厂家和供应商的服务承诺和保障措施；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（2）其他有利于用户的服务承诺。</w:t>
      </w:r>
    </w:p>
    <w:p>
      <w:pPr>
        <w:adjustRightInd w:val="0"/>
        <w:snapToGrid w:val="0"/>
        <w:spacing w:line="360" w:lineRule="auto"/>
        <w:ind w:firstLine="480" w:firstLineChars="200"/>
        <w:outlineLvl w:val="5"/>
        <w:rPr>
          <w:rFonts w:hint="eastAsia" w:ascii="宋体" w:hAnsi="宋体" w:eastAsia="宋体" w:cs="宋体"/>
          <w:sz w:val="24"/>
        </w:rPr>
      </w:pPr>
      <w:r>
        <w:rPr>
          <w:rFonts w:hint="eastAsia" w:ascii="宋体" w:hAnsi="宋体" w:eastAsia="宋体" w:cs="宋体"/>
          <w:sz w:val="24"/>
        </w:rPr>
        <w:t>8.5其他部分。供应商按照比选文件要求作出的其他应答和承诺。</w:t>
      </w:r>
    </w:p>
    <w:p>
      <w:pPr>
        <w:pStyle w:val="6"/>
        <w:spacing w:line="360" w:lineRule="auto"/>
        <w:ind w:firstLine="0" w:firstLineChars="0"/>
        <w:rPr>
          <w:rFonts w:hint="eastAsia" w:ascii="宋体" w:hAnsi="宋体" w:eastAsia="宋体" w:cs="宋体"/>
          <w:szCs w:val="22"/>
        </w:rPr>
      </w:pPr>
      <w:r>
        <w:rPr>
          <w:rFonts w:hint="eastAsia" w:ascii="宋体" w:hAnsi="宋体" w:eastAsia="宋体" w:cs="宋体"/>
          <w:szCs w:val="22"/>
        </w:rPr>
        <w:t>9．比选文件格式</w:t>
      </w:r>
      <w:bookmarkEnd w:id="63"/>
      <w:bookmarkEnd w:id="64"/>
      <w:bookmarkEnd w:id="65"/>
    </w:p>
    <w:p>
      <w:pPr>
        <w:tabs>
          <w:tab w:val="left" w:pos="7665"/>
        </w:tabs>
        <w:spacing w:line="360" w:lineRule="auto"/>
        <w:ind w:left="20" w:leftChars="6" w:firstLine="480" w:firstLineChars="200"/>
        <w:rPr>
          <w:rFonts w:hint="eastAsia" w:ascii="宋体" w:hAnsi="宋体" w:eastAsia="宋体" w:cs="宋体"/>
          <w:sz w:val="24"/>
        </w:rPr>
      </w:pPr>
      <w:bookmarkStart w:id="66" w:name="_Toc183682360"/>
      <w:bookmarkStart w:id="67" w:name="_Toc217446050"/>
      <w:bookmarkStart w:id="68" w:name="_Toc183582223"/>
      <w:r>
        <w:rPr>
          <w:rFonts w:hint="eastAsia" w:ascii="宋体" w:hAnsi="宋体" w:eastAsia="宋体" w:cs="宋体"/>
          <w:sz w:val="24"/>
        </w:rPr>
        <w:t>9.1 供应商应执行比选文件第三章的规定要求。</w:t>
      </w:r>
    </w:p>
    <w:p>
      <w:pPr>
        <w:tabs>
          <w:tab w:val="left" w:pos="7665"/>
        </w:tabs>
        <w:spacing w:line="360" w:lineRule="auto"/>
        <w:ind w:left="20" w:leftChars="6" w:firstLine="480" w:firstLineChars="200"/>
        <w:rPr>
          <w:rFonts w:hint="eastAsia" w:ascii="宋体" w:hAnsi="宋体" w:eastAsia="宋体" w:cs="宋体"/>
          <w:sz w:val="24"/>
        </w:rPr>
      </w:pPr>
      <w:r>
        <w:rPr>
          <w:rFonts w:hint="eastAsia" w:ascii="宋体" w:hAnsi="宋体" w:eastAsia="宋体" w:cs="宋体"/>
          <w:sz w:val="24"/>
        </w:rPr>
        <w:t>9.2 对于没有格式要求的比选响应文件由供应商自行编写。</w:t>
      </w:r>
    </w:p>
    <w:bookmarkEnd w:id="66"/>
    <w:bookmarkEnd w:id="67"/>
    <w:bookmarkEnd w:id="68"/>
    <w:p>
      <w:pPr>
        <w:pStyle w:val="6"/>
        <w:spacing w:line="360" w:lineRule="auto"/>
        <w:ind w:firstLine="0" w:firstLineChars="0"/>
        <w:rPr>
          <w:rFonts w:hint="eastAsia" w:ascii="宋体" w:hAnsi="宋体" w:eastAsia="宋体" w:cs="宋体"/>
          <w:szCs w:val="22"/>
        </w:rPr>
      </w:pPr>
      <w:bookmarkStart w:id="69" w:name="_Toc183582225"/>
      <w:bookmarkStart w:id="70" w:name="_Toc217446052"/>
      <w:bookmarkStart w:id="71" w:name="_Toc183682362"/>
      <w:r>
        <w:rPr>
          <w:rFonts w:hint="eastAsia" w:ascii="宋体" w:hAnsi="宋体" w:eastAsia="宋体" w:cs="宋体"/>
          <w:szCs w:val="22"/>
        </w:rPr>
        <w:t>10．比选文件的印制和签署</w:t>
      </w:r>
      <w:bookmarkEnd w:id="69"/>
      <w:bookmarkEnd w:id="70"/>
      <w:bookmarkEnd w:id="71"/>
    </w:p>
    <w:p>
      <w:pPr>
        <w:tabs>
          <w:tab w:val="left" w:pos="1080"/>
        </w:tabs>
        <w:spacing w:line="360" w:lineRule="auto"/>
        <w:ind w:firstLine="460" w:firstLineChars="192"/>
        <w:outlineLvl w:val="5"/>
        <w:rPr>
          <w:rFonts w:hint="eastAsia" w:ascii="宋体" w:hAnsi="宋体" w:eastAsia="宋体" w:cs="宋体"/>
          <w:sz w:val="24"/>
        </w:rPr>
      </w:pPr>
      <w:r>
        <w:rPr>
          <w:rFonts w:hint="eastAsia" w:ascii="宋体" w:hAnsi="宋体" w:eastAsia="宋体" w:cs="宋体"/>
          <w:sz w:val="24"/>
        </w:rPr>
        <w:t>10.1 供应商应当准备比选响应文件正本1份、副本1份。比选文件的正本和副本应在其封面右上角清楚地标明“正本”或“副本”字样。若正本和副本有不一致的内容，以正本书面比选响应文件为准。</w:t>
      </w:r>
    </w:p>
    <w:p>
      <w:pPr>
        <w:tabs>
          <w:tab w:val="left" w:pos="1095"/>
        </w:tabs>
        <w:spacing w:line="360" w:lineRule="auto"/>
        <w:ind w:firstLine="460" w:firstLineChars="192"/>
        <w:outlineLvl w:val="5"/>
        <w:rPr>
          <w:rFonts w:hint="eastAsia" w:ascii="宋体" w:hAnsi="宋体" w:eastAsia="宋体" w:cs="宋体"/>
          <w:sz w:val="24"/>
        </w:rPr>
      </w:pPr>
      <w:r>
        <w:rPr>
          <w:rFonts w:hint="eastAsia" w:ascii="宋体" w:hAnsi="宋体" w:eastAsia="宋体" w:cs="宋体"/>
          <w:sz w:val="24"/>
        </w:rPr>
        <w:t>10.2 比选响应文件的正本和副本均需打印或用不褪色、不变质的墨水书写，并由供应商的法定代表人或其授权代表在规定签章处签字或盖章。</w:t>
      </w:r>
    </w:p>
    <w:p>
      <w:pPr>
        <w:tabs>
          <w:tab w:val="left" w:pos="1095"/>
        </w:tabs>
        <w:spacing w:line="360" w:lineRule="auto"/>
        <w:ind w:firstLine="460" w:firstLineChars="192"/>
        <w:outlineLvl w:val="5"/>
        <w:rPr>
          <w:rFonts w:hint="eastAsia" w:ascii="宋体" w:hAnsi="宋体" w:eastAsia="宋体" w:cs="宋体"/>
          <w:sz w:val="24"/>
        </w:rPr>
      </w:pPr>
      <w:r>
        <w:rPr>
          <w:rFonts w:hint="eastAsia" w:ascii="宋体" w:hAnsi="宋体" w:eastAsia="宋体" w:cs="宋体"/>
          <w:sz w:val="24"/>
        </w:rPr>
        <w:t>18.3 比选响应文件的打印和书写应清楚工整，任何行间插字、涂改或增删，必须由供应商的法定代表人或其授权代表签字或盖个人印鉴。</w:t>
      </w:r>
    </w:p>
    <w:p>
      <w:pPr>
        <w:tabs>
          <w:tab w:val="left" w:pos="1080"/>
        </w:tabs>
        <w:spacing w:line="360" w:lineRule="auto"/>
        <w:ind w:firstLine="460" w:firstLineChars="192"/>
        <w:outlineLvl w:val="5"/>
        <w:rPr>
          <w:rFonts w:hint="eastAsia" w:ascii="宋体" w:hAnsi="宋体" w:eastAsia="宋体" w:cs="宋体"/>
          <w:sz w:val="24"/>
        </w:rPr>
      </w:pPr>
      <w:r>
        <w:rPr>
          <w:rFonts w:hint="eastAsia" w:ascii="宋体" w:hAnsi="宋体" w:eastAsia="宋体" w:cs="宋体"/>
          <w:sz w:val="24"/>
        </w:rPr>
        <w:t>10.4比选响应文件正本和副本应当采取胶装方式装订成册，不得散装或者合页装订。</w:t>
      </w:r>
    </w:p>
    <w:p>
      <w:pPr>
        <w:tabs>
          <w:tab w:val="left" w:pos="1080"/>
        </w:tabs>
        <w:spacing w:line="360" w:lineRule="auto"/>
        <w:ind w:firstLine="460" w:firstLineChars="192"/>
        <w:outlineLvl w:val="5"/>
        <w:rPr>
          <w:rFonts w:hint="eastAsia" w:ascii="宋体" w:hAnsi="宋体" w:eastAsia="宋体" w:cs="宋体"/>
          <w:sz w:val="24"/>
        </w:rPr>
      </w:pPr>
      <w:r>
        <w:rPr>
          <w:rFonts w:hint="eastAsia" w:ascii="宋体" w:hAnsi="宋体" w:eastAsia="宋体" w:cs="宋体"/>
          <w:sz w:val="24"/>
        </w:rPr>
        <w:t>10.5 比选响应文件应根据比选文件的要求制作，签署、盖章和内容应完整。</w:t>
      </w:r>
    </w:p>
    <w:p>
      <w:pPr>
        <w:tabs>
          <w:tab w:val="left" w:pos="1080"/>
        </w:tabs>
        <w:spacing w:line="360" w:lineRule="auto"/>
        <w:ind w:firstLine="460" w:firstLineChars="192"/>
        <w:outlineLvl w:val="5"/>
        <w:rPr>
          <w:rFonts w:hint="eastAsia" w:ascii="宋体" w:hAnsi="宋体" w:eastAsia="宋体" w:cs="宋体"/>
          <w:sz w:val="24"/>
        </w:rPr>
      </w:pPr>
      <w:r>
        <w:rPr>
          <w:rFonts w:hint="eastAsia" w:ascii="宋体" w:hAnsi="宋体" w:eastAsia="宋体" w:cs="宋体"/>
          <w:sz w:val="24"/>
        </w:rPr>
        <w:t>10.6 比选响应文件统一用A4幅面纸印制。（生产厂家的白皮书、宣传资料、彩页资料等除外）</w:t>
      </w:r>
    </w:p>
    <w:p>
      <w:pPr>
        <w:pStyle w:val="2"/>
        <w:rPr>
          <w:rFonts w:hint="eastAsia" w:ascii="宋体" w:hAnsi="宋体" w:eastAsia="宋体" w:cs="宋体"/>
          <w:sz w:val="24"/>
        </w:rPr>
      </w:pPr>
      <w:bookmarkStart w:id="72" w:name="_Toc217446054"/>
      <w:bookmarkStart w:id="73" w:name="_Toc183582227"/>
      <w:bookmarkStart w:id="74" w:name="_Toc183682364"/>
    </w:p>
    <w:bookmarkEnd w:id="72"/>
    <w:bookmarkEnd w:id="73"/>
    <w:bookmarkEnd w:id="74"/>
    <w:p>
      <w:pPr>
        <w:pStyle w:val="6"/>
        <w:ind w:firstLine="482"/>
        <w:jc w:val="center"/>
        <w:rPr>
          <w:rFonts w:hint="eastAsia" w:ascii="宋体" w:hAnsi="宋体" w:eastAsia="宋体" w:cs="宋体"/>
        </w:rPr>
      </w:pPr>
      <w:bookmarkStart w:id="75" w:name="_Toc22945"/>
      <w:bookmarkStart w:id="76" w:name="_Toc22907"/>
      <w:bookmarkStart w:id="77" w:name="_Toc183582240"/>
      <w:bookmarkStart w:id="78" w:name="_Toc217446065"/>
      <w:bookmarkStart w:id="79" w:name="_Toc183682377"/>
      <w:r>
        <w:rPr>
          <w:rFonts w:hint="eastAsia" w:ascii="宋体" w:hAnsi="宋体" w:eastAsia="宋体" w:cs="宋体"/>
        </w:rPr>
        <w:t>五、开标和中标</w:t>
      </w:r>
      <w:bookmarkEnd w:id="75"/>
      <w:bookmarkEnd w:id="76"/>
    </w:p>
    <w:p>
      <w:pPr>
        <w:pStyle w:val="6"/>
        <w:spacing w:line="360" w:lineRule="auto"/>
        <w:ind w:firstLine="482"/>
        <w:rPr>
          <w:rFonts w:hint="eastAsia" w:ascii="宋体" w:hAnsi="宋体" w:eastAsia="宋体" w:cs="宋体"/>
          <w:szCs w:val="22"/>
        </w:rPr>
      </w:pPr>
      <w:bookmarkStart w:id="80" w:name="_Toc183582232"/>
      <w:bookmarkStart w:id="81" w:name="_Toc217446057"/>
      <w:bookmarkStart w:id="82" w:name="_Toc183682369"/>
      <w:r>
        <w:rPr>
          <w:rFonts w:hint="eastAsia" w:ascii="宋体" w:hAnsi="宋体" w:eastAsia="宋体" w:cs="宋体"/>
          <w:szCs w:val="22"/>
        </w:rPr>
        <w:t>12．开标</w:t>
      </w:r>
      <w:bookmarkEnd w:id="80"/>
      <w:bookmarkEnd w:id="81"/>
      <w:bookmarkEnd w:id="82"/>
    </w:p>
    <w:p>
      <w:pPr>
        <w:spacing w:before="120" w:line="360" w:lineRule="auto"/>
        <w:ind w:firstLine="480" w:firstLineChars="200"/>
        <w:rPr>
          <w:rFonts w:hint="eastAsia" w:ascii="宋体" w:hAnsi="宋体" w:eastAsia="宋体" w:cs="宋体"/>
          <w:sz w:val="24"/>
        </w:rPr>
      </w:pPr>
      <w:bookmarkStart w:id="83" w:name="_Toc217446058"/>
      <w:r>
        <w:rPr>
          <w:rFonts w:hint="eastAsia" w:ascii="宋体" w:hAnsi="宋体" w:eastAsia="宋体" w:cs="宋体"/>
          <w:sz w:val="24"/>
        </w:rPr>
        <w:t xml:space="preserve"> 开标在采购单位规定的时间和地点公开进行。</w:t>
      </w:r>
    </w:p>
    <w:p>
      <w:pPr>
        <w:pStyle w:val="6"/>
        <w:spacing w:line="360" w:lineRule="auto"/>
        <w:ind w:firstLine="482"/>
        <w:rPr>
          <w:rFonts w:hint="eastAsia" w:ascii="宋体" w:hAnsi="宋体" w:eastAsia="宋体" w:cs="宋体"/>
          <w:szCs w:val="22"/>
        </w:rPr>
      </w:pPr>
      <w:r>
        <w:rPr>
          <w:rFonts w:hint="eastAsia" w:ascii="宋体" w:hAnsi="宋体" w:eastAsia="宋体" w:cs="宋体"/>
          <w:szCs w:val="22"/>
        </w:rPr>
        <w:t>13. 比选程序</w:t>
      </w:r>
      <w:bookmarkEnd w:id="83"/>
    </w:p>
    <w:bookmarkEnd w:id="77"/>
    <w:bookmarkEnd w:id="78"/>
    <w:bookmarkEnd w:id="79"/>
    <w:p>
      <w:pPr>
        <w:spacing w:before="120" w:line="360" w:lineRule="auto"/>
        <w:ind w:firstLine="480" w:firstLineChars="200"/>
        <w:rPr>
          <w:rFonts w:hint="eastAsia" w:ascii="宋体" w:hAnsi="宋体" w:eastAsia="宋体" w:cs="宋体"/>
          <w:sz w:val="24"/>
        </w:rPr>
      </w:pPr>
      <w:bookmarkStart w:id="84" w:name="_Toc183582238"/>
      <w:bookmarkStart w:id="85" w:name="_Toc183682375"/>
      <w:bookmarkStart w:id="86" w:name="_Toc217446063"/>
      <w:r>
        <w:rPr>
          <w:rFonts w:hint="eastAsia" w:ascii="宋体" w:hAnsi="宋体" w:eastAsia="宋体" w:cs="宋体"/>
          <w:sz w:val="24"/>
        </w:rPr>
        <w:t>（1）采购单位将在规定的时间和地点进行比选，比选采购会议由采购单位工作人员主持，所有供应商均应准时参加比选采购会议。</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（2）采购单位工作人员应当核验出席比选活动现场的各供应商代表及相关单位人员身份，并组织其分别登记、签到，无关人员可拒绝其进入现场。</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（3）采购单位工作人员接收比选响应文件并登记，并由供应商代表对递交记录情况进行签字确认。</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（4）主持人宣布比选采购会议开始，介绍比选现场的人员情况，宣读提交比选响应文件的供应商名单、比选纪律、应当回避的情形等注意事项</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（5）提请供应商代表查验比选响应文件密封情况。 </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（6）主持人按比选响应供应商签到的先后顺序当场拆封比选文件，并送至评审场所。</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7）比选小组必须按照客观、公正、审慎的原则，根据比选文件规定的评审程序、评审方法和评审标准进行独立评审。未实质性响应比选文件的响应文件按无效响应处理，比选小组应当告知提交响应文件的供应商。</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（8）比选小组所有成员集中与单一供应商分别进行磋谈，并给予所有参加比选的供应商平等的磋谈机会。</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9）在比选过程中，比选小组可以根据比选文件和比选情况实质性变动采购需求中的技术、服务要求以及合同草案条款，但不得变动比选文件中的其他内容。实质性变动的内容，须经采购人代表确认。对比选文件作出的实质性变动是比选文件的有效组成部分，比选小组应当及时以书面形式同时通知所有参加比选的供应商。供应商应当按照比选文件的变动情况和比选小组的要求重新提交响应文件，并由其法定代表人或授权代表签字或者加盖公章。</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（10）比选文件能够详细列明采购标的的技术、服务要求的，比选结束后，比选小组将要求所有实质性响应的供应商在规定时间内提交最后报价，最后报价是供应商响应文件的有效组成部分。 </w:t>
      </w:r>
    </w:p>
    <w:p>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（11）经比选确定最终采购需求和提交最后报价的供应商后，由比选小组采用综合评分法对提交最后报价的供应商的响应文件和最后报价进行综合评分。</w:t>
      </w:r>
    </w:p>
    <w:p>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firstLine="480" w:firstLineChars="200"/>
        <w:jc w:val="left"/>
        <w:rPr>
          <w:rFonts w:hint="eastAsia" w:ascii="宋体" w:hAnsi="宋体" w:eastAsia="宋体" w:cs="宋体"/>
          <w:b/>
          <w:color w:val="000000"/>
          <w:sz w:val="24"/>
        </w:rPr>
      </w:pPr>
      <w:r>
        <w:rPr>
          <w:rFonts w:hint="eastAsia" w:ascii="宋体" w:hAnsi="宋体" w:eastAsia="宋体" w:cs="宋体"/>
          <w:sz w:val="24"/>
        </w:rPr>
        <w:t>（12）本项目将按比选小组推荐的成交候选供应商顺序确定成交供应商。比选小组应当根据综合评分情况，按照评审得分由高到低顺序推荐成交候选供应商。评审得分相同的，按照最后报价由低到高的顺序推荐。评审得分且最后报价相同的，按照技术指标优劣顺序推荐。</w:t>
      </w:r>
    </w:p>
    <w:p>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14.比选原则和方法</w:t>
      </w:r>
    </w:p>
    <w:p>
      <w:pPr>
        <w:pStyle w:val="12"/>
        <w:snapToGrid w:val="0"/>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1）比选原则。比选小组必须公平、公正、客观，不带任何倾向性和启发性；不得向外界透露任何与评审有关的内容；任何单位和个人不得干扰、影响评审的正常进行；比选小组及有关工作人员不得私下与比选供应商接触。</w:t>
      </w:r>
    </w:p>
    <w:p>
      <w:pPr>
        <w:pStyle w:val="12"/>
        <w:snapToGrid w:val="0"/>
        <w:spacing w:line="360" w:lineRule="auto"/>
        <w:ind w:firstLine="600" w:firstLineChars="250"/>
        <w:rPr>
          <w:rFonts w:hint="eastAsia" w:ascii="宋体" w:hAnsi="宋体" w:eastAsia="宋体" w:cs="宋体"/>
          <w:b/>
          <w:bCs/>
          <w:sz w:val="24"/>
          <w:szCs w:val="22"/>
        </w:rPr>
      </w:pPr>
      <w:r>
        <w:rPr>
          <w:rFonts w:hint="eastAsia" w:ascii="宋体" w:hAnsi="宋体" w:eastAsia="宋体" w:cs="宋体"/>
          <w:color w:val="000000"/>
          <w:sz w:val="24"/>
        </w:rPr>
        <w:t>（2）比选办法。具体比选内容及评分标准等详见《第七章：评审方法及评分标准》。</w:t>
      </w:r>
    </w:p>
    <w:p>
      <w:pPr>
        <w:pStyle w:val="6"/>
        <w:spacing w:line="360" w:lineRule="auto"/>
        <w:ind w:firstLine="482"/>
        <w:rPr>
          <w:rFonts w:hint="eastAsia" w:ascii="宋体" w:hAnsi="宋体" w:eastAsia="宋体" w:cs="宋体"/>
          <w:szCs w:val="22"/>
        </w:rPr>
      </w:pPr>
      <w:r>
        <w:rPr>
          <w:rFonts w:hint="eastAsia" w:ascii="宋体" w:hAnsi="宋体" w:eastAsia="宋体" w:cs="宋体"/>
          <w:szCs w:val="22"/>
        </w:rPr>
        <w:t>15. 评标情况公告</w:t>
      </w:r>
    </w:p>
    <w:p>
      <w:pPr>
        <w:spacing w:beforeLines="50" w:line="360" w:lineRule="auto"/>
        <w:ind w:firstLine="480" w:firstLineChars="200"/>
        <w:rPr>
          <w:rFonts w:hint="eastAsia" w:ascii="宋体" w:hAnsi="宋体" w:eastAsia="宋体" w:cs="宋体"/>
          <w:sz w:val="24"/>
        </w:rPr>
      </w:pPr>
      <w:r>
        <w:rPr>
          <w:rFonts w:hint="eastAsia" w:ascii="宋体" w:hAnsi="宋体" w:eastAsia="宋体" w:cs="宋体"/>
          <w:sz w:val="24"/>
        </w:rPr>
        <w:t>所有供应商比选响应文件资格性、符合性检查情况、采用综合评分法时的总得分和分项汇总得分情况、评标结果等将在“</w:t>
      </w:r>
      <w:r>
        <w:rPr>
          <w:rFonts w:hint="eastAsia" w:ascii="宋体" w:hAnsi="宋体" w:eastAsia="宋体" w:cs="宋体"/>
          <w:sz w:val="24"/>
          <w:lang w:eastAsia="zh-CN"/>
        </w:rPr>
        <w:t>巴中市中医院</w:t>
      </w:r>
      <w:r>
        <w:rPr>
          <w:rFonts w:hint="eastAsia" w:ascii="宋体" w:hAnsi="宋体" w:eastAsia="宋体" w:cs="宋体"/>
          <w:sz w:val="24"/>
        </w:rPr>
        <w:t>官网”上采购结果公告栏中予以公告。</w:t>
      </w:r>
    </w:p>
    <w:p>
      <w:pPr>
        <w:pStyle w:val="6"/>
        <w:spacing w:line="360" w:lineRule="auto"/>
        <w:ind w:firstLine="482"/>
        <w:rPr>
          <w:rFonts w:hint="eastAsia" w:ascii="宋体" w:hAnsi="宋体" w:eastAsia="宋体" w:cs="宋体"/>
          <w:szCs w:val="22"/>
        </w:rPr>
      </w:pPr>
      <w:r>
        <w:rPr>
          <w:rFonts w:hint="eastAsia" w:ascii="宋体" w:hAnsi="宋体" w:eastAsia="宋体" w:cs="宋体"/>
          <w:szCs w:val="22"/>
        </w:rPr>
        <w:t>16. 中标通知</w:t>
      </w:r>
      <w:bookmarkEnd w:id="84"/>
      <w:bookmarkEnd w:id="85"/>
      <w:r>
        <w:rPr>
          <w:rFonts w:hint="eastAsia" w:ascii="宋体" w:hAnsi="宋体" w:eastAsia="宋体" w:cs="宋体"/>
          <w:szCs w:val="22"/>
        </w:rPr>
        <w:t>书</w:t>
      </w:r>
      <w:bookmarkEnd w:id="86"/>
    </w:p>
    <w:p>
      <w:pPr>
        <w:tabs>
          <w:tab w:val="left" w:pos="7665"/>
        </w:tabs>
        <w:adjustRightInd w:val="0"/>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中标公告发出后，中标供应商自行领取中标通知书的，可凭有效身份证明证件（单位介绍信和个人身份证）到采购单位处领取中标通知书。</w:t>
      </w:r>
    </w:p>
    <w:p>
      <w:pPr>
        <w:pStyle w:val="6"/>
        <w:ind w:firstLine="482"/>
        <w:jc w:val="center"/>
        <w:rPr>
          <w:rFonts w:hint="eastAsia" w:ascii="宋体" w:hAnsi="宋体" w:eastAsia="宋体" w:cs="宋体"/>
        </w:rPr>
      </w:pPr>
      <w:r>
        <w:rPr>
          <w:rFonts w:hint="eastAsia" w:ascii="宋体" w:hAnsi="宋体" w:eastAsia="宋体" w:cs="宋体"/>
        </w:rPr>
        <w:t>六、签订及履行合同和验收</w:t>
      </w:r>
    </w:p>
    <w:p>
      <w:pPr>
        <w:pStyle w:val="6"/>
        <w:spacing w:line="360" w:lineRule="auto"/>
        <w:ind w:firstLine="482"/>
        <w:rPr>
          <w:rFonts w:hint="eastAsia" w:ascii="宋体" w:hAnsi="宋体" w:eastAsia="宋体" w:cs="宋体"/>
          <w:szCs w:val="22"/>
        </w:rPr>
      </w:pPr>
      <w:r>
        <w:rPr>
          <w:rFonts w:hint="eastAsia" w:ascii="宋体" w:hAnsi="宋体" w:eastAsia="宋体" w:cs="宋体"/>
          <w:szCs w:val="22"/>
        </w:rPr>
        <w:t>16. 签订合同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中标人应在中标通知书发出之日起</w:t>
      </w:r>
      <w:r>
        <w:rPr>
          <w:rFonts w:hint="eastAsia" w:hAnsi="宋体" w:cs="宋体"/>
          <w:sz w:val="24"/>
          <w:lang w:val="en-US" w:eastAsia="zh-CN"/>
        </w:rPr>
        <w:t>7</w:t>
      </w:r>
      <w:r>
        <w:rPr>
          <w:rFonts w:hint="eastAsia" w:ascii="宋体" w:hAnsi="宋体" w:eastAsia="宋体" w:cs="宋体"/>
          <w:sz w:val="24"/>
        </w:rPr>
        <w:t>日内与采购人签订采购合同。由于中标人的原因逾期未与采购人签订采购合同的，将视为放弃中标，取消其中标资格并将按相关规定进行处理。</w:t>
      </w:r>
    </w:p>
    <w:p>
      <w:pPr>
        <w:pStyle w:val="6"/>
        <w:spacing w:line="360" w:lineRule="auto"/>
        <w:ind w:firstLine="482"/>
        <w:rPr>
          <w:rFonts w:hint="eastAsia" w:ascii="宋体" w:hAnsi="宋体" w:eastAsia="宋体" w:cs="宋体"/>
          <w:szCs w:val="22"/>
        </w:rPr>
      </w:pPr>
      <w:bookmarkStart w:id="87" w:name="_Toc308164814"/>
      <w:bookmarkStart w:id="88" w:name="_Toc217446069"/>
      <w:r>
        <w:rPr>
          <w:rFonts w:hint="eastAsia" w:ascii="宋体" w:hAnsi="宋体" w:eastAsia="宋体" w:cs="宋体"/>
          <w:szCs w:val="22"/>
        </w:rPr>
        <w:t>17. 验收</w:t>
      </w:r>
      <w:bookmarkEnd w:id="87"/>
    </w:p>
    <w:p>
      <w:pPr>
        <w:adjustRightInd w:val="0"/>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本项目采购人将严格按照采购相关法律法规以及《四川省采购项目需求论证和履约验收管理办法》（川财采〔2015〕32号）的要求进行验收。</w:t>
      </w:r>
    </w:p>
    <w:bookmarkEnd w:id="88"/>
    <w:p>
      <w:pPr>
        <w:pStyle w:val="6"/>
        <w:ind w:firstLine="482"/>
        <w:jc w:val="center"/>
        <w:rPr>
          <w:rFonts w:hint="eastAsia" w:ascii="宋体" w:hAnsi="宋体" w:eastAsia="宋体" w:cs="宋体"/>
        </w:rPr>
      </w:pPr>
      <w:r>
        <w:rPr>
          <w:rFonts w:hint="eastAsia" w:ascii="宋体" w:hAnsi="宋体" w:eastAsia="宋体" w:cs="宋体"/>
        </w:rPr>
        <w:t>七、比选纪律要求</w:t>
      </w:r>
    </w:p>
    <w:p>
      <w:pPr>
        <w:pStyle w:val="6"/>
        <w:spacing w:line="360" w:lineRule="auto"/>
        <w:ind w:firstLine="482"/>
        <w:rPr>
          <w:rFonts w:hint="eastAsia" w:ascii="宋体" w:hAnsi="宋体" w:eastAsia="宋体" w:cs="宋体"/>
          <w:szCs w:val="22"/>
        </w:rPr>
      </w:pPr>
      <w:r>
        <w:rPr>
          <w:rFonts w:hint="eastAsia" w:ascii="宋体" w:hAnsi="宋体" w:eastAsia="宋体" w:cs="宋体"/>
          <w:szCs w:val="22"/>
        </w:rPr>
        <w:t>18. 供应商不得具有的情形</w:t>
      </w:r>
    </w:p>
    <w:p>
      <w:pPr>
        <w:pStyle w:val="9"/>
        <w:spacing w:line="360" w:lineRule="auto"/>
        <w:ind w:firstLine="480"/>
        <w:rPr>
          <w:rFonts w:hint="eastAsia" w:ascii="宋体" w:hAnsi="宋体" w:eastAsia="宋体" w:cs="宋体"/>
          <w:sz w:val="24"/>
          <w:szCs w:val="22"/>
        </w:rPr>
      </w:pPr>
      <w:r>
        <w:rPr>
          <w:rFonts w:hint="eastAsia" w:ascii="宋体" w:hAnsi="宋体" w:eastAsia="宋体" w:cs="宋体"/>
          <w:sz w:val="24"/>
          <w:szCs w:val="22"/>
        </w:rPr>
        <w:t>供应商参加本项目比选不得有下列情形：</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（1）提供虚假材料、承诺谋取中标；</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（2）采取不正当手段诋毁、排挤其他供应商；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（3）与招标采购单位、其他供应商恶意串通；</w:t>
      </w:r>
    </w:p>
    <w:p>
      <w:pPr>
        <w:spacing w:line="360" w:lineRule="auto"/>
        <w:rPr>
          <w:rFonts w:hint="eastAsia" w:ascii="宋体" w:hAnsi="宋体" w:eastAsia="宋体" w:cs="宋体"/>
          <w:sz w:val="24"/>
        </w:rPr>
      </w:pPr>
      <w:r>
        <w:rPr>
          <w:rFonts w:hint="eastAsia" w:ascii="宋体" w:hAnsi="宋体" w:eastAsia="宋体" w:cs="宋体"/>
          <w:sz w:val="24"/>
        </w:rPr>
        <w:t xml:space="preserve">    （4）向招标采购单位、比选小组成员行贿或者提供其他不正当利益；</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（5）在招标过程中与招标采购单位进行协商谈判；</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（6）中标或者成交后无正当理由拒不与采购人签订采购合同；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（7）未按照招标（采购）文件确定的事项签订采购合同；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（8）将采购合同转包或者违规分包；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（9）提供假冒伪劣产品；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（10）擅自变更、中止或者终止采购合同；</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（11）拒绝有关部门的监督检查或者向监督检查部门提供虚假情况；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（12）法律法规规定的其他情形。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供应商有上述情形的，按照规定将取消中标资格或者认定中标无效。</w:t>
      </w:r>
    </w:p>
    <w:bookmarkEnd w:id="43"/>
    <w:bookmarkEnd w:id="44"/>
    <w:bookmarkEnd w:id="45"/>
    <w:p>
      <w:pPr>
        <w:pStyle w:val="14"/>
        <w:tabs>
          <w:tab w:val="left" w:pos="5909"/>
        </w:tabs>
        <w:spacing w:line="360" w:lineRule="auto"/>
        <w:ind w:left="0" w:firstLine="0"/>
        <w:rPr>
          <w:rFonts w:hint="eastAsia" w:ascii="宋体" w:hAnsi="宋体" w:eastAsia="宋体" w:cs="宋体"/>
          <w:sz w:val="24"/>
        </w:rPr>
      </w:pPr>
    </w:p>
    <w:p>
      <w:pPr>
        <w:pStyle w:val="4"/>
        <w:rPr>
          <w:rFonts w:hint="eastAsia" w:ascii="宋体" w:hAnsi="宋体" w:eastAsia="宋体" w:cs="宋体"/>
        </w:rPr>
      </w:pPr>
      <w:bookmarkStart w:id="89" w:name="_Toc18552"/>
      <w:bookmarkStart w:id="90" w:name="_Toc18996"/>
    </w:p>
    <w:p>
      <w:pPr>
        <w:pStyle w:val="4"/>
        <w:rPr>
          <w:rFonts w:hint="eastAsia" w:ascii="宋体" w:hAnsi="宋体" w:eastAsia="宋体" w:cs="宋体"/>
        </w:rPr>
      </w:pPr>
      <w:bookmarkStart w:id="91" w:name="_Toc6953"/>
      <w:r>
        <w:rPr>
          <w:rFonts w:hint="eastAsia" w:ascii="宋体" w:hAnsi="宋体" w:eastAsia="宋体" w:cs="宋体"/>
        </w:rPr>
        <w:t>第三章 比选响应文件格式</w:t>
      </w:r>
      <w:bookmarkEnd w:id="46"/>
      <w:bookmarkEnd w:id="89"/>
      <w:bookmarkEnd w:id="90"/>
      <w:bookmarkEnd w:id="91"/>
    </w:p>
    <w:p>
      <w:pPr>
        <w:widowControl/>
        <w:spacing w:line="360" w:lineRule="auto"/>
        <w:outlineLvl w:val="1"/>
        <w:rPr>
          <w:rFonts w:hint="eastAsia" w:ascii="宋体" w:hAnsi="宋体" w:eastAsia="宋体" w:cs="宋体"/>
          <w:sz w:val="24"/>
        </w:rPr>
      </w:pPr>
    </w:p>
    <w:p>
      <w:pPr>
        <w:widowControl/>
        <w:spacing w:line="360" w:lineRule="auto"/>
        <w:ind w:firstLine="470" w:firstLineChars="196"/>
        <w:outlineLvl w:val="1"/>
        <w:rPr>
          <w:rFonts w:hint="eastAsia" w:ascii="宋体" w:hAnsi="宋体" w:eastAsia="宋体" w:cs="宋体"/>
          <w:sz w:val="24"/>
        </w:rPr>
      </w:pPr>
      <w:r>
        <w:rPr>
          <w:rFonts w:hint="eastAsia" w:ascii="宋体" w:hAnsi="宋体" w:eastAsia="宋体" w:cs="宋体"/>
          <w:sz w:val="24"/>
        </w:rPr>
        <w:t>一、本章所制比选响应文件格式，除格式中明确将该格式作为实质性要求的，一律不具有强制性，但是，供应商比选文件相关资料和本章所制格式不一致的，评标委员会将在评分时以比选文件不规范予以扣分处理。</w:t>
      </w:r>
    </w:p>
    <w:p>
      <w:pPr>
        <w:widowControl/>
        <w:spacing w:line="360" w:lineRule="auto"/>
        <w:ind w:firstLine="470" w:firstLineChars="196"/>
        <w:outlineLvl w:val="1"/>
        <w:rPr>
          <w:rFonts w:hint="eastAsia" w:ascii="宋体" w:hAnsi="宋体" w:eastAsia="宋体" w:cs="宋体"/>
          <w:sz w:val="24"/>
        </w:rPr>
      </w:pPr>
      <w:r>
        <w:rPr>
          <w:rFonts w:hint="eastAsia" w:ascii="宋体" w:hAnsi="宋体" w:eastAsia="宋体" w:cs="宋体"/>
          <w:sz w:val="24"/>
        </w:rPr>
        <w:t>二、本章所制比选响应文件格式有关表格中的备注栏，由供应商根据自身比选情况作解释性说明，不作为必填项（如果供应商比选响应文件中已经去掉备注而无其他解释性说明，则视为完全理解并同意备注中的要求）。</w:t>
      </w:r>
    </w:p>
    <w:p>
      <w:pPr>
        <w:widowControl/>
        <w:spacing w:line="360" w:lineRule="auto"/>
        <w:ind w:firstLine="470" w:firstLineChars="196"/>
        <w:outlineLvl w:val="1"/>
        <w:rPr>
          <w:rFonts w:hint="eastAsia" w:ascii="宋体" w:hAnsi="宋体" w:eastAsia="宋体" w:cs="宋体"/>
          <w:sz w:val="24"/>
        </w:rPr>
      </w:pPr>
      <w:r>
        <w:rPr>
          <w:rFonts w:hint="eastAsia" w:ascii="宋体" w:hAnsi="宋体" w:eastAsia="宋体" w:cs="宋体"/>
          <w:sz w:val="24"/>
        </w:rPr>
        <w:t>三、本章所制比选响应文件格式中需要填写的相关内容事项，可能会与本采购项目无关，在不改变比选文件原义、不影响本项目采购需求的情况下，供应商可以不予填写，但应当注明。</w:t>
      </w:r>
    </w:p>
    <w:p>
      <w:pPr>
        <w:rPr>
          <w:rFonts w:hint="eastAsia" w:ascii="宋体" w:hAnsi="宋体" w:eastAsia="宋体" w:cs="宋体"/>
        </w:rPr>
        <w:sectPr>
          <w:footerReference r:id="rId10" w:type="default"/>
          <w:pgSz w:w="11907" w:h="16840"/>
          <w:pgMar w:top="1134" w:right="1134" w:bottom="851" w:left="1418" w:header="851" w:footer="992" w:gutter="0"/>
          <w:pgNumType w:fmt="decimal" w:start="1"/>
          <w:cols w:space="720" w:num="1"/>
          <w:docGrid w:linePitch="312" w:charSpace="0"/>
        </w:sectPr>
      </w:pPr>
      <w:r>
        <w:rPr>
          <w:rFonts w:hint="eastAsia" w:ascii="宋体" w:hAnsi="宋体" w:eastAsia="宋体" w:cs="宋体"/>
          <w:sz w:val="24"/>
        </w:rPr>
        <w:br w:type="page"/>
      </w:r>
      <w:bookmarkStart w:id="92" w:name="_Toc217446086"/>
    </w:p>
    <w:p>
      <w:pPr>
        <w:pStyle w:val="7"/>
        <w:spacing w:line="360" w:lineRule="auto"/>
        <w:rPr>
          <w:rFonts w:hint="eastAsia" w:ascii="宋体" w:hAnsi="宋体" w:eastAsia="宋体" w:cs="宋体"/>
        </w:rPr>
      </w:pPr>
      <w:r>
        <w:rPr>
          <w:rFonts w:hint="eastAsia" w:ascii="宋体" w:hAnsi="宋体" w:eastAsia="宋体" w:cs="宋体"/>
        </w:rPr>
        <w:t>一、报价单</w:t>
      </w:r>
    </w:p>
    <w:p>
      <w:pPr>
        <w:spacing w:line="360" w:lineRule="auto"/>
        <w:rPr>
          <w:rFonts w:hint="eastAsia" w:ascii="宋体" w:hAnsi="宋体" w:eastAsia="宋体" w:cs="宋体"/>
          <w:b/>
          <w:bCs/>
          <w:sz w:val="24"/>
        </w:rPr>
      </w:pPr>
      <w:r>
        <w:rPr>
          <w:rFonts w:hint="eastAsia" w:ascii="宋体" w:hAnsi="宋体" w:eastAsia="宋体" w:cs="宋体"/>
          <w:b/>
          <w:sz w:val="24"/>
        </w:rPr>
        <w:t xml:space="preserve">   项目名称：</w:t>
      </w:r>
      <w:r>
        <w:rPr>
          <w:rFonts w:hint="eastAsia" w:ascii="宋体" w:hAnsi="宋体" w:eastAsia="宋体" w:cs="宋体"/>
          <w:b/>
          <w:sz w:val="24"/>
          <w:u w:val="single"/>
        </w:rPr>
        <w:t xml:space="preserve">                              </w:t>
      </w:r>
      <w:r>
        <w:rPr>
          <w:rFonts w:hint="eastAsia" w:ascii="宋体" w:hAnsi="宋体" w:eastAsia="宋体" w:cs="宋体"/>
          <w:b/>
          <w:sz w:val="24"/>
        </w:rPr>
        <w:t xml:space="preserve">         </w:t>
      </w:r>
    </w:p>
    <w:tbl>
      <w:tblPr>
        <w:tblStyle w:val="19"/>
        <w:tblW w:w="15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659"/>
        <w:gridCol w:w="4037"/>
        <w:gridCol w:w="1418"/>
        <w:gridCol w:w="1559"/>
        <w:gridCol w:w="1559"/>
        <w:gridCol w:w="177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83"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659"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40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制造商家及规格型号</w:t>
            </w:r>
          </w:p>
        </w:tc>
        <w:tc>
          <w:tcPr>
            <w:tcW w:w="1418"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比选单价</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（万元）</w:t>
            </w:r>
          </w:p>
        </w:tc>
        <w:tc>
          <w:tcPr>
            <w:tcW w:w="1559"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比选总价</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（万元）</w:t>
            </w:r>
          </w:p>
        </w:tc>
        <w:tc>
          <w:tcPr>
            <w:tcW w:w="1559"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交货时间</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（完工期）</w:t>
            </w:r>
          </w:p>
        </w:tc>
        <w:tc>
          <w:tcPr>
            <w:tcW w:w="1774"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交货地点</w:t>
            </w:r>
          </w:p>
        </w:tc>
        <w:tc>
          <w:tcPr>
            <w:tcW w:w="1282"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3" w:type="dxa"/>
          </w:tcPr>
          <w:p>
            <w:pPr>
              <w:spacing w:line="360" w:lineRule="auto"/>
              <w:jc w:val="center"/>
              <w:rPr>
                <w:rFonts w:hint="eastAsia" w:ascii="宋体" w:hAnsi="宋体" w:eastAsia="宋体" w:cs="宋体"/>
                <w:b/>
                <w:sz w:val="24"/>
                <w:szCs w:val="24"/>
              </w:rPr>
            </w:pPr>
          </w:p>
        </w:tc>
        <w:tc>
          <w:tcPr>
            <w:tcW w:w="2659" w:type="dxa"/>
            <w:vAlign w:val="center"/>
          </w:tcPr>
          <w:p>
            <w:pPr>
              <w:spacing w:line="360" w:lineRule="auto"/>
              <w:jc w:val="center"/>
              <w:rPr>
                <w:rFonts w:hint="eastAsia" w:ascii="宋体" w:hAnsi="宋体" w:eastAsia="宋体" w:cs="宋体"/>
                <w:b/>
                <w:sz w:val="24"/>
                <w:szCs w:val="24"/>
              </w:rPr>
            </w:pPr>
          </w:p>
        </w:tc>
        <w:tc>
          <w:tcPr>
            <w:tcW w:w="4037" w:type="dxa"/>
            <w:vAlign w:val="center"/>
          </w:tcPr>
          <w:p>
            <w:pPr>
              <w:spacing w:line="360" w:lineRule="auto"/>
              <w:jc w:val="center"/>
              <w:rPr>
                <w:rFonts w:hint="eastAsia" w:ascii="宋体" w:hAnsi="宋体" w:eastAsia="宋体" w:cs="宋体"/>
                <w:b/>
                <w:sz w:val="24"/>
                <w:szCs w:val="24"/>
              </w:rPr>
            </w:pPr>
          </w:p>
        </w:tc>
        <w:tc>
          <w:tcPr>
            <w:tcW w:w="1418" w:type="dxa"/>
            <w:vAlign w:val="center"/>
          </w:tcPr>
          <w:p>
            <w:pPr>
              <w:spacing w:line="360" w:lineRule="auto"/>
              <w:jc w:val="center"/>
              <w:rPr>
                <w:rFonts w:hint="eastAsia" w:ascii="宋体" w:hAnsi="宋体" w:eastAsia="宋体" w:cs="宋体"/>
                <w:b/>
                <w:sz w:val="24"/>
                <w:szCs w:val="24"/>
              </w:rPr>
            </w:pPr>
          </w:p>
        </w:tc>
        <w:tc>
          <w:tcPr>
            <w:tcW w:w="1559" w:type="dxa"/>
            <w:vAlign w:val="center"/>
          </w:tcPr>
          <w:p>
            <w:pPr>
              <w:spacing w:line="360" w:lineRule="auto"/>
              <w:jc w:val="center"/>
              <w:rPr>
                <w:rFonts w:hint="eastAsia" w:ascii="宋体" w:hAnsi="宋体" w:eastAsia="宋体" w:cs="宋体"/>
                <w:b/>
                <w:sz w:val="24"/>
                <w:szCs w:val="24"/>
              </w:rPr>
            </w:pPr>
          </w:p>
        </w:tc>
        <w:tc>
          <w:tcPr>
            <w:tcW w:w="1559" w:type="dxa"/>
            <w:vAlign w:val="center"/>
          </w:tcPr>
          <w:p>
            <w:pPr>
              <w:spacing w:line="360" w:lineRule="auto"/>
              <w:jc w:val="center"/>
              <w:rPr>
                <w:rFonts w:hint="eastAsia" w:ascii="宋体" w:hAnsi="宋体" w:eastAsia="宋体" w:cs="宋体"/>
                <w:b/>
                <w:sz w:val="24"/>
                <w:szCs w:val="24"/>
              </w:rPr>
            </w:pPr>
          </w:p>
        </w:tc>
        <w:tc>
          <w:tcPr>
            <w:tcW w:w="1774" w:type="dxa"/>
            <w:vAlign w:val="center"/>
          </w:tcPr>
          <w:p>
            <w:pPr>
              <w:spacing w:line="360" w:lineRule="auto"/>
              <w:jc w:val="center"/>
              <w:rPr>
                <w:rFonts w:hint="eastAsia" w:ascii="宋体" w:hAnsi="宋体" w:eastAsia="宋体" w:cs="宋体"/>
                <w:b/>
                <w:sz w:val="24"/>
                <w:szCs w:val="24"/>
              </w:rPr>
            </w:pPr>
          </w:p>
        </w:tc>
        <w:tc>
          <w:tcPr>
            <w:tcW w:w="1282" w:type="dxa"/>
            <w:vAlign w:val="center"/>
          </w:tcPr>
          <w:p>
            <w:pPr>
              <w:spacing w:line="360" w:lineRule="auto"/>
              <w:jc w:val="cente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3" w:type="dxa"/>
          </w:tcPr>
          <w:p>
            <w:pPr>
              <w:spacing w:line="360" w:lineRule="auto"/>
              <w:jc w:val="center"/>
              <w:rPr>
                <w:rFonts w:hint="eastAsia" w:ascii="宋体" w:hAnsi="宋体" w:eastAsia="宋体" w:cs="宋体"/>
                <w:b/>
                <w:sz w:val="24"/>
                <w:szCs w:val="24"/>
              </w:rPr>
            </w:pPr>
          </w:p>
        </w:tc>
        <w:tc>
          <w:tcPr>
            <w:tcW w:w="2659" w:type="dxa"/>
            <w:vAlign w:val="center"/>
          </w:tcPr>
          <w:p>
            <w:pPr>
              <w:spacing w:line="360" w:lineRule="auto"/>
              <w:jc w:val="center"/>
              <w:rPr>
                <w:rFonts w:hint="eastAsia" w:ascii="宋体" w:hAnsi="宋体" w:eastAsia="宋体" w:cs="宋体"/>
                <w:b/>
                <w:sz w:val="24"/>
                <w:szCs w:val="24"/>
              </w:rPr>
            </w:pPr>
          </w:p>
        </w:tc>
        <w:tc>
          <w:tcPr>
            <w:tcW w:w="4037" w:type="dxa"/>
            <w:vAlign w:val="center"/>
          </w:tcPr>
          <w:p>
            <w:pPr>
              <w:spacing w:line="360" w:lineRule="auto"/>
              <w:jc w:val="center"/>
              <w:rPr>
                <w:rFonts w:hint="eastAsia" w:ascii="宋体" w:hAnsi="宋体" w:eastAsia="宋体" w:cs="宋体"/>
                <w:b/>
                <w:sz w:val="24"/>
                <w:szCs w:val="24"/>
              </w:rPr>
            </w:pPr>
          </w:p>
        </w:tc>
        <w:tc>
          <w:tcPr>
            <w:tcW w:w="1418" w:type="dxa"/>
            <w:vAlign w:val="center"/>
          </w:tcPr>
          <w:p>
            <w:pPr>
              <w:spacing w:line="360" w:lineRule="auto"/>
              <w:jc w:val="center"/>
              <w:rPr>
                <w:rFonts w:hint="eastAsia" w:ascii="宋体" w:hAnsi="宋体" w:eastAsia="宋体" w:cs="宋体"/>
                <w:b/>
                <w:sz w:val="24"/>
                <w:szCs w:val="24"/>
              </w:rPr>
            </w:pPr>
          </w:p>
        </w:tc>
        <w:tc>
          <w:tcPr>
            <w:tcW w:w="1559" w:type="dxa"/>
            <w:vAlign w:val="center"/>
          </w:tcPr>
          <w:p>
            <w:pPr>
              <w:spacing w:line="360" w:lineRule="auto"/>
              <w:jc w:val="center"/>
              <w:rPr>
                <w:rFonts w:hint="eastAsia" w:ascii="宋体" w:hAnsi="宋体" w:eastAsia="宋体" w:cs="宋体"/>
                <w:b/>
                <w:sz w:val="24"/>
                <w:szCs w:val="24"/>
              </w:rPr>
            </w:pPr>
          </w:p>
        </w:tc>
        <w:tc>
          <w:tcPr>
            <w:tcW w:w="1559" w:type="dxa"/>
            <w:vAlign w:val="center"/>
          </w:tcPr>
          <w:p>
            <w:pPr>
              <w:spacing w:line="360" w:lineRule="auto"/>
              <w:jc w:val="center"/>
              <w:rPr>
                <w:rFonts w:hint="eastAsia" w:ascii="宋体" w:hAnsi="宋体" w:eastAsia="宋体" w:cs="宋体"/>
                <w:b/>
                <w:sz w:val="24"/>
                <w:szCs w:val="24"/>
              </w:rPr>
            </w:pPr>
          </w:p>
        </w:tc>
        <w:tc>
          <w:tcPr>
            <w:tcW w:w="1774" w:type="dxa"/>
            <w:vAlign w:val="center"/>
          </w:tcPr>
          <w:p>
            <w:pPr>
              <w:spacing w:line="360" w:lineRule="auto"/>
              <w:jc w:val="center"/>
              <w:rPr>
                <w:rFonts w:hint="eastAsia" w:ascii="宋体" w:hAnsi="宋体" w:eastAsia="宋体" w:cs="宋体"/>
                <w:b/>
                <w:sz w:val="24"/>
                <w:szCs w:val="24"/>
              </w:rPr>
            </w:pPr>
          </w:p>
        </w:tc>
        <w:tc>
          <w:tcPr>
            <w:tcW w:w="1282" w:type="dxa"/>
            <w:vAlign w:val="center"/>
          </w:tcPr>
          <w:p>
            <w:pPr>
              <w:spacing w:line="360" w:lineRule="auto"/>
              <w:jc w:val="cente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071" w:type="dxa"/>
            <w:gridSpan w:val="8"/>
          </w:tcPr>
          <w:p>
            <w:pPr>
              <w:spacing w:line="360" w:lineRule="auto"/>
              <w:rPr>
                <w:rFonts w:hint="eastAsia" w:ascii="宋体" w:hAnsi="宋体" w:eastAsia="宋体" w:cs="宋体"/>
                <w:b/>
                <w:sz w:val="24"/>
                <w:szCs w:val="24"/>
              </w:rPr>
            </w:pPr>
            <w:r>
              <w:rPr>
                <w:rFonts w:hint="eastAsia" w:ascii="宋体" w:hAnsi="宋体" w:eastAsia="宋体" w:cs="宋体"/>
                <w:b/>
                <w:sz w:val="24"/>
                <w:szCs w:val="24"/>
              </w:rPr>
              <w:t>报价合计（万元）：                大写：</w:t>
            </w:r>
          </w:p>
        </w:tc>
      </w:tr>
    </w:tbl>
    <w:p>
      <w:pPr>
        <w:adjustRightInd w:val="0"/>
        <w:snapToGrid w:val="0"/>
        <w:spacing w:line="360" w:lineRule="auto"/>
        <w:ind w:firstLine="480"/>
        <w:outlineLvl w:val="2"/>
        <w:rPr>
          <w:rFonts w:hint="eastAsia" w:ascii="宋体" w:hAnsi="宋体" w:eastAsia="宋体" w:cs="宋体"/>
          <w:sz w:val="24"/>
        </w:rPr>
      </w:pPr>
      <w:r>
        <w:rPr>
          <w:rFonts w:hint="eastAsia" w:ascii="宋体" w:hAnsi="宋体" w:eastAsia="宋体" w:cs="宋体"/>
          <w:sz w:val="24"/>
        </w:rPr>
        <w:t>注：</w:t>
      </w:r>
    </w:p>
    <w:p>
      <w:pPr>
        <w:adjustRightInd w:val="0"/>
        <w:snapToGrid w:val="0"/>
        <w:spacing w:line="360" w:lineRule="auto"/>
        <w:ind w:firstLine="480"/>
        <w:outlineLvl w:val="2"/>
        <w:rPr>
          <w:rFonts w:hint="eastAsia" w:ascii="宋体" w:hAnsi="宋体" w:eastAsia="宋体" w:cs="宋体"/>
          <w:sz w:val="24"/>
        </w:rPr>
      </w:pPr>
      <w:r>
        <w:rPr>
          <w:rFonts w:hint="eastAsia" w:ascii="宋体" w:hAnsi="宋体" w:eastAsia="宋体" w:cs="宋体"/>
          <w:sz w:val="24"/>
        </w:rPr>
        <w:t>1. 报价应是最终用户验收合格后的总价，包括货物运输、保险、代理、安装调试、培训、税费、系统集成费用和比选文件规定的其它费用。</w:t>
      </w:r>
    </w:p>
    <w:p>
      <w:pPr>
        <w:adjustRightInd w:val="0"/>
        <w:snapToGrid w:val="0"/>
        <w:spacing w:line="360" w:lineRule="auto"/>
        <w:outlineLvl w:val="2"/>
        <w:rPr>
          <w:rFonts w:hint="eastAsia" w:ascii="宋体" w:hAnsi="宋体" w:eastAsia="宋体" w:cs="宋体"/>
          <w:sz w:val="24"/>
        </w:rPr>
      </w:pPr>
      <w:r>
        <w:rPr>
          <w:rFonts w:hint="eastAsia" w:ascii="宋体" w:hAnsi="宋体" w:eastAsia="宋体" w:cs="宋体"/>
          <w:sz w:val="24"/>
        </w:rPr>
        <w:t xml:space="preserve">    2.“报价单”为多页的，每页均需由法定代表人或授权代表签字并盖供应商印章。</w:t>
      </w:r>
    </w:p>
    <w:p>
      <w:pPr>
        <w:adjustRightInd w:val="0"/>
        <w:snapToGrid w:val="0"/>
        <w:spacing w:line="360" w:lineRule="auto"/>
        <w:outlineLvl w:val="2"/>
        <w:rPr>
          <w:rFonts w:hint="eastAsia" w:ascii="宋体" w:hAnsi="宋体" w:eastAsia="宋体" w:cs="宋体"/>
          <w:sz w:val="24"/>
        </w:rPr>
      </w:pPr>
      <w:r>
        <w:rPr>
          <w:rFonts w:hint="eastAsia" w:ascii="宋体" w:hAnsi="宋体" w:eastAsia="宋体" w:cs="宋体"/>
          <w:sz w:val="24"/>
        </w:rPr>
        <w:t xml:space="preserve">    3.“报价单”以包为单位填写。</w:t>
      </w:r>
    </w:p>
    <w:p>
      <w:pPr>
        <w:adjustRightInd w:val="0"/>
        <w:snapToGrid w:val="0"/>
        <w:spacing w:line="360" w:lineRule="auto"/>
        <w:outlineLvl w:val="2"/>
        <w:rPr>
          <w:rFonts w:hint="eastAsia" w:ascii="宋体" w:hAnsi="宋体" w:eastAsia="宋体" w:cs="宋体"/>
          <w:bCs/>
          <w:sz w:val="24"/>
        </w:rPr>
      </w:pPr>
      <w:r>
        <w:rPr>
          <w:rFonts w:hint="eastAsia" w:ascii="宋体" w:hAnsi="宋体" w:eastAsia="宋体" w:cs="宋体"/>
          <w:bCs/>
          <w:sz w:val="24"/>
        </w:rPr>
        <w:t>供应商名称：        （盖单位公章）</w:t>
      </w:r>
    </w:p>
    <w:p>
      <w:pPr>
        <w:adjustRightInd w:val="0"/>
        <w:spacing w:line="360" w:lineRule="auto"/>
        <w:jc w:val="left"/>
        <w:outlineLvl w:val="2"/>
        <w:rPr>
          <w:rFonts w:hint="eastAsia" w:ascii="宋体" w:hAnsi="宋体" w:eastAsia="宋体" w:cs="宋体"/>
          <w:bCs/>
          <w:sz w:val="24"/>
        </w:rPr>
      </w:pPr>
      <w:r>
        <w:rPr>
          <w:rFonts w:hint="eastAsia" w:ascii="宋体" w:hAnsi="宋体" w:eastAsia="宋体" w:cs="宋体"/>
          <w:bCs/>
          <w:sz w:val="24"/>
        </w:rPr>
        <w:t>法定代表人或授权代表（签字）：</w:t>
      </w:r>
    </w:p>
    <w:p>
      <w:pPr>
        <w:spacing w:line="360" w:lineRule="auto"/>
        <w:rPr>
          <w:rFonts w:hint="eastAsia" w:ascii="宋体" w:hAnsi="宋体" w:eastAsia="宋体" w:cs="宋体"/>
          <w:bCs/>
          <w:sz w:val="24"/>
        </w:rPr>
      </w:pPr>
      <w:r>
        <w:rPr>
          <w:rFonts w:hint="eastAsia" w:ascii="宋体" w:hAnsi="宋体" w:eastAsia="宋体" w:cs="宋体"/>
          <w:bCs/>
          <w:sz w:val="24"/>
        </w:rPr>
        <w:t>日期：</w:t>
      </w:r>
    </w:p>
    <w:p>
      <w:pPr>
        <w:pStyle w:val="2"/>
        <w:rPr>
          <w:rFonts w:hint="eastAsia" w:ascii="宋体" w:hAnsi="宋体" w:eastAsia="宋体" w:cs="宋体"/>
          <w:bCs/>
          <w:sz w:val="24"/>
        </w:rPr>
      </w:pPr>
    </w:p>
    <w:p>
      <w:pPr>
        <w:rPr>
          <w:rFonts w:hint="eastAsia" w:ascii="宋体" w:hAnsi="宋体" w:eastAsia="宋体" w:cs="宋体"/>
        </w:rPr>
        <w:sectPr>
          <w:pgSz w:w="16840" w:h="11907" w:orient="landscape"/>
          <w:pgMar w:top="1418" w:right="1134" w:bottom="1134" w:left="851" w:header="851" w:footer="992" w:gutter="0"/>
          <w:pgNumType w:fmt="decimal"/>
          <w:cols w:space="720" w:num="1"/>
          <w:docGrid w:linePitch="312" w:charSpace="0"/>
        </w:sectPr>
      </w:pPr>
      <w:r>
        <w:rPr>
          <w:rFonts w:hint="eastAsia" w:ascii="宋体" w:hAnsi="宋体" w:eastAsia="宋体" w:cs="宋体"/>
        </w:rPr>
        <w:br w:type="page"/>
      </w:r>
    </w:p>
    <w:bookmarkEnd w:id="92"/>
    <w:p>
      <w:pPr>
        <w:pStyle w:val="7"/>
        <w:tabs>
          <w:tab w:val="left" w:pos="3400"/>
        </w:tabs>
        <w:spacing w:line="360" w:lineRule="auto"/>
        <w:jc w:val="both"/>
        <w:rPr>
          <w:rFonts w:hint="eastAsia" w:ascii="宋体" w:hAnsi="宋体" w:eastAsia="宋体" w:cs="宋体"/>
        </w:rPr>
      </w:pPr>
      <w:bookmarkStart w:id="93" w:name="_Toc217446092"/>
    </w:p>
    <w:p>
      <w:pPr>
        <w:pStyle w:val="7"/>
        <w:spacing w:line="360" w:lineRule="auto"/>
        <w:rPr>
          <w:rFonts w:hint="eastAsia" w:ascii="宋体" w:hAnsi="宋体" w:eastAsia="宋体" w:cs="宋体"/>
        </w:rPr>
      </w:pPr>
      <w:r>
        <w:rPr>
          <w:rFonts w:hint="eastAsia" w:ascii="宋体" w:hAnsi="宋体" w:eastAsia="宋体" w:cs="宋体"/>
        </w:rPr>
        <w:t>二、其他材料（格式自拟）</w:t>
      </w:r>
    </w:p>
    <w:p>
      <w:pPr>
        <w:snapToGrid w:val="0"/>
        <w:spacing w:line="360" w:lineRule="auto"/>
        <w:ind w:firstLine="480" w:firstLineChars="200"/>
        <w:textAlignment w:val="bottom"/>
        <w:rPr>
          <w:rFonts w:hint="eastAsia" w:ascii="宋体" w:hAnsi="宋体" w:eastAsia="宋体" w:cs="宋体"/>
          <w:sz w:val="24"/>
        </w:rPr>
      </w:pPr>
    </w:p>
    <w:p>
      <w:pPr>
        <w:snapToGrid w:val="0"/>
        <w:spacing w:line="360" w:lineRule="auto"/>
        <w:rPr>
          <w:rFonts w:hint="eastAsia" w:ascii="宋体" w:hAnsi="宋体" w:eastAsia="宋体" w:cs="宋体"/>
          <w:b/>
          <w:sz w:val="24"/>
        </w:rPr>
      </w:pPr>
    </w:p>
    <w:p>
      <w:pPr>
        <w:snapToGrid w:val="0"/>
        <w:spacing w:line="360" w:lineRule="auto"/>
        <w:rPr>
          <w:rFonts w:hint="eastAsia" w:ascii="宋体" w:hAnsi="宋体" w:eastAsia="宋体" w:cs="宋体"/>
          <w:b/>
          <w:sz w:val="24"/>
        </w:rPr>
      </w:pPr>
      <w:r>
        <w:rPr>
          <w:rFonts w:hint="eastAsia" w:ascii="宋体" w:hAnsi="宋体" w:eastAsia="宋体" w:cs="宋体"/>
          <w:b/>
          <w:sz w:val="24"/>
        </w:rPr>
        <w:t>项目名称：</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spacing w:after="60" w:line="360" w:lineRule="auto"/>
        <w:ind w:firstLine="557" w:firstLineChars="198"/>
        <w:jc w:val="center"/>
        <w:rPr>
          <w:rFonts w:hint="eastAsia" w:ascii="宋体" w:hAnsi="宋体" w:eastAsia="宋体" w:cs="宋体"/>
          <w:b/>
          <w:sz w:val="28"/>
          <w:szCs w:val="28"/>
        </w:rPr>
      </w:pPr>
    </w:p>
    <w:p>
      <w:pPr>
        <w:spacing w:after="60" w:line="360" w:lineRule="auto"/>
        <w:ind w:firstLine="557" w:firstLineChars="198"/>
        <w:jc w:val="center"/>
        <w:rPr>
          <w:rFonts w:hint="eastAsia" w:ascii="宋体" w:hAnsi="宋体" w:eastAsia="宋体" w:cs="宋体"/>
          <w:b/>
          <w:sz w:val="28"/>
          <w:szCs w:val="28"/>
        </w:rPr>
      </w:pPr>
    </w:p>
    <w:p>
      <w:pPr>
        <w:spacing w:after="60" w:line="360" w:lineRule="auto"/>
        <w:ind w:firstLine="557" w:firstLineChars="198"/>
        <w:jc w:val="center"/>
        <w:rPr>
          <w:rFonts w:hint="eastAsia" w:ascii="宋体" w:hAnsi="宋体" w:eastAsia="宋体" w:cs="宋体"/>
          <w:b/>
          <w:sz w:val="28"/>
          <w:szCs w:val="28"/>
        </w:rPr>
      </w:pPr>
    </w:p>
    <w:p>
      <w:pPr>
        <w:spacing w:after="60" w:line="360" w:lineRule="auto"/>
        <w:ind w:firstLine="557" w:firstLineChars="198"/>
        <w:jc w:val="center"/>
        <w:rPr>
          <w:rFonts w:hint="eastAsia" w:ascii="宋体" w:hAnsi="宋体" w:eastAsia="宋体" w:cs="宋体"/>
          <w:b/>
          <w:sz w:val="28"/>
          <w:szCs w:val="28"/>
        </w:rPr>
      </w:pPr>
    </w:p>
    <w:p>
      <w:pPr>
        <w:spacing w:after="60" w:line="360" w:lineRule="auto"/>
        <w:rPr>
          <w:rFonts w:hint="eastAsia" w:ascii="宋体" w:hAnsi="宋体" w:eastAsia="宋体" w:cs="宋体"/>
          <w:b/>
          <w:sz w:val="32"/>
          <w:szCs w:val="32"/>
        </w:rPr>
      </w:pPr>
      <w:r>
        <w:rPr>
          <w:rFonts w:hint="eastAsia" w:ascii="宋体" w:hAnsi="宋体" w:eastAsia="宋体" w:cs="宋体"/>
          <w:b/>
          <w:sz w:val="32"/>
          <w:szCs w:val="32"/>
        </w:rPr>
        <w:t xml:space="preserve">                    （格式自拟）</w:t>
      </w:r>
    </w:p>
    <w:p>
      <w:pPr>
        <w:snapToGrid w:val="0"/>
        <w:spacing w:line="360" w:lineRule="auto"/>
        <w:ind w:firstLine="480" w:firstLineChars="200"/>
        <w:rPr>
          <w:rFonts w:hint="eastAsia" w:ascii="宋体" w:hAnsi="宋体" w:eastAsia="宋体" w:cs="宋体"/>
          <w:snapToGrid w:val="0"/>
          <w:sz w:val="24"/>
        </w:rPr>
      </w:pPr>
    </w:p>
    <w:p>
      <w:pPr>
        <w:snapToGrid w:val="0"/>
        <w:spacing w:line="360" w:lineRule="auto"/>
        <w:ind w:firstLine="480" w:firstLineChars="200"/>
        <w:rPr>
          <w:rFonts w:hint="eastAsia" w:ascii="宋体" w:hAnsi="宋体" w:eastAsia="宋体" w:cs="宋体"/>
          <w:snapToGrid w:val="0"/>
          <w:sz w:val="24"/>
        </w:rPr>
      </w:pPr>
    </w:p>
    <w:p>
      <w:pPr>
        <w:spacing w:line="360" w:lineRule="auto"/>
        <w:ind w:firstLine="480"/>
        <w:jc w:val="left"/>
        <w:rPr>
          <w:rFonts w:hint="eastAsia" w:ascii="宋体" w:hAnsi="宋体" w:eastAsia="宋体" w:cs="宋体"/>
          <w:sz w:val="24"/>
        </w:rPr>
      </w:pPr>
    </w:p>
    <w:p>
      <w:pPr>
        <w:spacing w:line="360" w:lineRule="auto"/>
        <w:ind w:firstLine="480"/>
        <w:jc w:val="left"/>
        <w:rPr>
          <w:rFonts w:hint="eastAsia" w:ascii="宋体" w:hAnsi="宋体" w:eastAsia="宋体" w:cs="宋体"/>
          <w:sz w:val="24"/>
        </w:rPr>
      </w:pPr>
    </w:p>
    <w:p>
      <w:pPr>
        <w:spacing w:line="360" w:lineRule="auto"/>
        <w:ind w:firstLine="480"/>
        <w:jc w:val="left"/>
        <w:rPr>
          <w:rFonts w:hint="eastAsia" w:ascii="宋体" w:hAnsi="宋体" w:eastAsia="宋体" w:cs="宋体"/>
          <w:sz w:val="24"/>
        </w:rPr>
      </w:pPr>
    </w:p>
    <w:p>
      <w:pPr>
        <w:spacing w:line="360" w:lineRule="auto"/>
        <w:ind w:firstLine="480"/>
        <w:jc w:val="left"/>
        <w:rPr>
          <w:rFonts w:hint="eastAsia" w:ascii="宋体" w:hAnsi="宋体" w:eastAsia="宋体" w:cs="宋体"/>
          <w:sz w:val="24"/>
        </w:rPr>
      </w:pPr>
    </w:p>
    <w:p>
      <w:pPr>
        <w:adjustRightInd w:val="0"/>
        <w:spacing w:line="360" w:lineRule="auto"/>
        <w:jc w:val="left"/>
        <w:rPr>
          <w:rFonts w:hint="eastAsia" w:ascii="宋体" w:hAnsi="宋体" w:eastAsia="宋体" w:cs="宋体"/>
          <w:bCs/>
          <w:sz w:val="24"/>
        </w:rPr>
      </w:pPr>
      <w:r>
        <w:rPr>
          <w:rFonts w:hint="eastAsia" w:ascii="宋体" w:hAnsi="宋体" w:eastAsia="宋体" w:cs="宋体"/>
          <w:bCs/>
          <w:sz w:val="24"/>
        </w:rPr>
        <w:t>供应商名称：        （盖单位公章）</w:t>
      </w:r>
    </w:p>
    <w:p>
      <w:pPr>
        <w:adjustRightInd w:val="0"/>
        <w:spacing w:line="360" w:lineRule="auto"/>
        <w:jc w:val="left"/>
        <w:rPr>
          <w:rFonts w:hint="eastAsia" w:ascii="宋体" w:hAnsi="宋体" w:eastAsia="宋体" w:cs="宋体"/>
          <w:bCs/>
          <w:sz w:val="24"/>
        </w:rPr>
      </w:pPr>
      <w:r>
        <w:rPr>
          <w:rFonts w:hint="eastAsia" w:ascii="宋体" w:hAnsi="宋体" w:eastAsia="宋体" w:cs="宋体"/>
          <w:sz w:val="24"/>
        </w:rPr>
        <w:t>法定代表人或授权代表（签字）</w:t>
      </w:r>
      <w:r>
        <w:rPr>
          <w:rFonts w:hint="eastAsia" w:ascii="宋体" w:hAnsi="宋体" w:eastAsia="宋体" w:cs="宋体"/>
          <w:bCs/>
          <w:sz w:val="24"/>
        </w:rPr>
        <w:t>：</w:t>
      </w:r>
    </w:p>
    <w:p>
      <w:pPr>
        <w:adjustRightInd w:val="0"/>
        <w:spacing w:line="360" w:lineRule="auto"/>
        <w:jc w:val="left"/>
        <w:rPr>
          <w:rFonts w:hint="eastAsia" w:ascii="宋体" w:hAnsi="宋体" w:eastAsia="宋体" w:cs="宋体"/>
          <w:bCs/>
          <w:sz w:val="24"/>
        </w:rPr>
      </w:pPr>
      <w:r>
        <w:rPr>
          <w:rFonts w:hint="eastAsia" w:ascii="宋体" w:hAnsi="宋体" w:eastAsia="宋体" w:cs="宋体"/>
          <w:bCs/>
          <w:sz w:val="24"/>
        </w:rPr>
        <w:t>比选日期：</w:t>
      </w:r>
    </w:p>
    <w:p>
      <w:pPr>
        <w:spacing w:line="360" w:lineRule="auto"/>
        <w:outlineLvl w:val="5"/>
        <w:rPr>
          <w:rFonts w:hint="eastAsia" w:ascii="宋体" w:hAnsi="宋体" w:eastAsia="宋体" w:cs="宋体"/>
          <w:b/>
          <w:sz w:val="32"/>
          <w:szCs w:val="32"/>
        </w:rPr>
      </w:pPr>
    </w:p>
    <w:p>
      <w:pPr>
        <w:spacing w:line="360" w:lineRule="auto"/>
        <w:ind w:left="4035"/>
        <w:outlineLvl w:val="0"/>
        <w:rPr>
          <w:rFonts w:hint="eastAsia" w:ascii="宋体" w:hAnsi="宋体" w:eastAsia="宋体" w:cs="宋体"/>
          <w:b/>
          <w:bCs/>
          <w:sz w:val="30"/>
          <w:szCs w:val="30"/>
        </w:rPr>
      </w:pPr>
    </w:p>
    <w:p>
      <w:pPr>
        <w:spacing w:line="360" w:lineRule="auto"/>
        <w:jc w:val="center"/>
        <w:outlineLvl w:val="0"/>
        <w:rPr>
          <w:rStyle w:val="34"/>
          <w:rFonts w:hint="eastAsia" w:ascii="宋体" w:hAnsi="宋体" w:eastAsia="宋体" w:cs="宋体"/>
        </w:rPr>
      </w:pPr>
      <w:r>
        <w:rPr>
          <w:rFonts w:hint="eastAsia" w:ascii="宋体" w:hAnsi="宋体" w:eastAsia="宋体" w:cs="宋体"/>
        </w:rPr>
        <w:br w:type="page"/>
      </w:r>
      <w:bookmarkEnd w:id="93"/>
      <w:bookmarkStart w:id="94" w:name="_Toc1392"/>
      <w:bookmarkStart w:id="95" w:name="_Toc25177"/>
      <w:bookmarkStart w:id="96" w:name="_Toc10194"/>
      <w:r>
        <w:rPr>
          <w:rStyle w:val="34"/>
          <w:rFonts w:hint="eastAsia" w:ascii="宋体" w:hAnsi="宋体" w:eastAsia="宋体" w:cs="宋体"/>
        </w:rPr>
        <w:t>第四章、供应商和投标产品的资格、资质性及其他类似效力要求</w:t>
      </w:r>
      <w:bookmarkEnd w:id="94"/>
      <w:bookmarkEnd w:id="95"/>
      <w:bookmarkEnd w:id="96"/>
    </w:p>
    <w:p>
      <w:pPr>
        <w:pStyle w:val="8"/>
        <w:numPr>
          <w:ilvl w:val="0"/>
          <w:numId w:val="1"/>
        </w:numPr>
        <w:adjustRightInd w:val="0"/>
        <w:snapToGrid w:val="0"/>
        <w:spacing w:before="0" w:after="0" w:line="360" w:lineRule="auto"/>
        <w:rPr>
          <w:rFonts w:hint="eastAsia" w:ascii="宋体" w:hAnsi="宋体" w:eastAsia="宋体" w:cs="宋体"/>
        </w:rPr>
      </w:pPr>
      <w:r>
        <w:rPr>
          <w:rFonts w:hint="eastAsia" w:ascii="宋体" w:hAnsi="宋体" w:eastAsia="宋体" w:cs="宋体"/>
        </w:rPr>
        <w:t>供应商资格、资质性及其他类似效力要求</w:t>
      </w:r>
    </w:p>
    <w:p>
      <w:pPr>
        <w:adjustRightInd w:val="0"/>
        <w:snapToGrid w:val="0"/>
        <w:spacing w:line="360" w:lineRule="auto"/>
        <w:outlineLvl w:val="5"/>
        <w:rPr>
          <w:rFonts w:hint="eastAsia" w:ascii="宋体" w:hAnsi="宋体" w:eastAsia="宋体" w:cs="宋体"/>
          <w:b/>
          <w:bCs/>
          <w:sz w:val="24"/>
        </w:rPr>
      </w:pPr>
      <w:r>
        <w:rPr>
          <w:rFonts w:hint="eastAsia" w:ascii="宋体" w:hAnsi="宋体" w:eastAsia="宋体" w:cs="宋体"/>
          <w:b/>
          <w:bCs/>
          <w:sz w:val="24"/>
        </w:rPr>
        <w:t>（一）供应商应具备《中华人民共和国采购法》第二十二条规定的下列条件：</w:t>
      </w:r>
    </w:p>
    <w:p>
      <w:pPr>
        <w:numPr>
          <w:ilvl w:val="3"/>
          <w:numId w:val="2"/>
        </w:numPr>
        <w:shd w:val="clear" w:color="auto" w:fill="FFFFFF"/>
        <w:tabs>
          <w:tab w:val="left" w:pos="900"/>
        </w:tabs>
        <w:adjustRightInd w:val="0"/>
        <w:snapToGrid w:val="0"/>
        <w:spacing w:line="360" w:lineRule="auto"/>
        <w:ind w:hanging="1140"/>
        <w:outlineLvl w:val="5"/>
        <w:rPr>
          <w:rFonts w:hint="eastAsia" w:ascii="宋体" w:hAnsi="宋体" w:eastAsia="宋体" w:cs="宋体"/>
          <w:sz w:val="24"/>
        </w:rPr>
      </w:pPr>
      <w:r>
        <w:rPr>
          <w:rFonts w:hint="eastAsia" w:ascii="宋体" w:hAnsi="宋体" w:eastAsia="宋体" w:cs="宋体"/>
          <w:sz w:val="24"/>
        </w:rPr>
        <w:t>具有独立承担民事责任的能力；</w:t>
      </w:r>
    </w:p>
    <w:p>
      <w:pPr>
        <w:numPr>
          <w:ilvl w:val="3"/>
          <w:numId w:val="2"/>
        </w:numPr>
        <w:shd w:val="clear" w:color="auto" w:fill="FFFFFF"/>
        <w:tabs>
          <w:tab w:val="left" w:pos="900"/>
        </w:tabs>
        <w:adjustRightInd w:val="0"/>
        <w:snapToGrid w:val="0"/>
        <w:spacing w:line="360" w:lineRule="auto"/>
        <w:ind w:hanging="1140"/>
        <w:outlineLvl w:val="5"/>
        <w:rPr>
          <w:rFonts w:hint="eastAsia" w:ascii="宋体" w:hAnsi="宋体" w:eastAsia="宋体" w:cs="宋体"/>
          <w:sz w:val="24"/>
        </w:rPr>
      </w:pPr>
      <w:r>
        <w:rPr>
          <w:rFonts w:hint="eastAsia" w:ascii="宋体" w:hAnsi="宋体" w:eastAsia="宋体" w:cs="宋体"/>
          <w:sz w:val="24"/>
        </w:rPr>
        <w:t>具有良好的商业信誉和健全的财务会计制度；</w:t>
      </w:r>
    </w:p>
    <w:p>
      <w:pPr>
        <w:numPr>
          <w:ilvl w:val="3"/>
          <w:numId w:val="2"/>
        </w:numPr>
        <w:shd w:val="clear" w:color="auto" w:fill="FFFFFF"/>
        <w:tabs>
          <w:tab w:val="left" w:pos="900"/>
        </w:tabs>
        <w:adjustRightInd w:val="0"/>
        <w:snapToGrid w:val="0"/>
        <w:spacing w:line="360" w:lineRule="auto"/>
        <w:ind w:hanging="1140"/>
        <w:outlineLvl w:val="5"/>
        <w:rPr>
          <w:rFonts w:hint="eastAsia" w:ascii="宋体" w:hAnsi="宋体" w:eastAsia="宋体" w:cs="宋体"/>
          <w:sz w:val="24"/>
        </w:rPr>
      </w:pPr>
      <w:r>
        <w:rPr>
          <w:rFonts w:hint="eastAsia" w:ascii="宋体" w:hAnsi="宋体" w:eastAsia="宋体" w:cs="宋体"/>
          <w:sz w:val="24"/>
        </w:rPr>
        <w:t>具有履行合同所必需的产品和专业技术能力；</w:t>
      </w:r>
    </w:p>
    <w:p>
      <w:pPr>
        <w:numPr>
          <w:ilvl w:val="3"/>
          <w:numId w:val="2"/>
        </w:numPr>
        <w:shd w:val="clear" w:color="auto" w:fill="FFFFFF"/>
        <w:tabs>
          <w:tab w:val="left" w:pos="900"/>
        </w:tabs>
        <w:adjustRightInd w:val="0"/>
        <w:snapToGrid w:val="0"/>
        <w:spacing w:line="360" w:lineRule="auto"/>
        <w:ind w:hanging="1140"/>
        <w:outlineLvl w:val="5"/>
        <w:rPr>
          <w:rFonts w:hint="eastAsia" w:ascii="宋体" w:hAnsi="宋体" w:eastAsia="宋体" w:cs="宋体"/>
          <w:sz w:val="24"/>
        </w:rPr>
      </w:pPr>
      <w:r>
        <w:rPr>
          <w:rFonts w:hint="eastAsia" w:ascii="宋体" w:hAnsi="宋体" w:eastAsia="宋体" w:cs="宋体"/>
          <w:sz w:val="24"/>
        </w:rPr>
        <w:t>法律、行政法规规定的其他条件。</w:t>
      </w:r>
    </w:p>
    <w:p>
      <w:pPr>
        <w:pStyle w:val="25"/>
        <w:numPr>
          <w:ilvl w:val="0"/>
          <w:numId w:val="3"/>
        </w:numPr>
        <w:ind w:firstLine="0" w:firstLineChars="0"/>
        <w:rPr>
          <w:rFonts w:hint="eastAsia" w:ascii="宋体" w:hAnsi="宋体" w:eastAsia="宋体" w:cs="宋体"/>
          <w:b/>
          <w:sz w:val="24"/>
        </w:rPr>
      </w:pPr>
      <w:r>
        <w:rPr>
          <w:rFonts w:hint="eastAsia" w:ascii="宋体" w:hAnsi="宋体" w:eastAsia="宋体" w:cs="宋体"/>
          <w:b/>
          <w:sz w:val="24"/>
        </w:rPr>
        <w:t>根据采购项目提出的特殊条件：</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szCs w:val="24"/>
        </w:rPr>
        <w:t>2.1 供应商商家相关资质(企业营业执照、医疗器械经营许可证等) 、生产企业及产品相关资质（营业执照、医疗器械生产许可证、产品注册证、产品注册登记表等）等。</w:t>
      </w:r>
    </w:p>
    <w:p>
      <w:pPr>
        <w:spacing w:line="360" w:lineRule="auto"/>
        <w:ind w:firstLine="480" w:firstLineChars="200"/>
        <w:rPr>
          <w:rFonts w:hint="eastAsia" w:ascii="宋体" w:hAnsi="宋体" w:eastAsia="宋体" w:cs="宋体"/>
          <w:sz w:val="24"/>
          <w:szCs w:val="24"/>
        </w:rPr>
      </w:pPr>
      <w:bookmarkStart w:id="97" w:name="_Toc21378"/>
      <w:bookmarkStart w:id="98" w:name="_Toc12281"/>
      <w:r>
        <w:rPr>
          <w:rFonts w:hint="eastAsia" w:ascii="宋体" w:hAnsi="宋体" w:eastAsia="宋体" w:cs="宋体"/>
          <w:sz w:val="24"/>
          <w:szCs w:val="24"/>
        </w:rPr>
        <w:t>2.2 本次项目商家法人代表身份证复印件或商家代表授权委托书原件、身份证复印件。</w:t>
      </w:r>
    </w:p>
    <w:p>
      <w:pPr>
        <w:pStyle w:val="3"/>
        <w:spacing w:line="360" w:lineRule="auto"/>
        <w:jc w:val="left"/>
        <w:rPr>
          <w:rFonts w:hint="eastAsia" w:ascii="宋体" w:hAnsi="宋体" w:eastAsia="宋体" w:cs="宋体"/>
        </w:rPr>
      </w:pPr>
      <w:r>
        <w:rPr>
          <w:rFonts w:hint="eastAsia" w:ascii="宋体" w:hAnsi="宋体" w:eastAsia="宋体" w:cs="宋体"/>
          <w:sz w:val="24"/>
          <w:szCs w:val="24"/>
        </w:rPr>
        <w:t xml:space="preserve">  </w:t>
      </w:r>
    </w:p>
    <w:p>
      <w:pPr>
        <w:spacing w:line="360" w:lineRule="auto"/>
        <w:ind w:firstLine="361" w:firstLineChars="100"/>
        <w:rPr>
          <w:rStyle w:val="34"/>
          <w:rFonts w:hint="eastAsia" w:ascii="宋体" w:hAnsi="宋体" w:eastAsia="宋体" w:cs="宋体"/>
        </w:rPr>
      </w:pPr>
    </w:p>
    <w:p>
      <w:pPr>
        <w:spacing w:line="360" w:lineRule="auto"/>
        <w:ind w:firstLine="723" w:firstLineChars="200"/>
        <w:jc w:val="center"/>
        <w:rPr>
          <w:rFonts w:hint="eastAsia" w:ascii="宋体" w:hAnsi="宋体" w:eastAsia="宋体" w:cs="宋体"/>
        </w:rPr>
      </w:pPr>
      <w:bookmarkStart w:id="99" w:name="_Toc5938"/>
      <w:r>
        <w:rPr>
          <w:rStyle w:val="34"/>
          <w:rFonts w:hint="eastAsia" w:ascii="宋体" w:hAnsi="宋体" w:eastAsia="宋体" w:cs="宋体"/>
        </w:rPr>
        <w:t>第五章 供应商应当提供的资格、资质性及其他类似效力要求的相关证明材料</w:t>
      </w:r>
      <w:bookmarkEnd w:id="97"/>
      <w:bookmarkEnd w:id="98"/>
      <w:bookmarkEnd w:id="99"/>
    </w:p>
    <w:p>
      <w:pPr>
        <w:pStyle w:val="12"/>
        <w:numPr>
          <w:ilvl w:val="0"/>
          <w:numId w:val="4"/>
        </w:numPr>
        <w:spacing w:line="360" w:lineRule="auto"/>
        <w:outlineLvl w:val="5"/>
        <w:rPr>
          <w:rFonts w:hint="eastAsia" w:ascii="宋体" w:hAnsi="宋体" w:eastAsia="宋体" w:cs="宋体"/>
          <w:b/>
          <w:sz w:val="24"/>
        </w:rPr>
      </w:pPr>
      <w:r>
        <w:rPr>
          <w:rFonts w:hint="eastAsia" w:ascii="宋体" w:hAnsi="宋体" w:eastAsia="宋体" w:cs="宋体"/>
          <w:b/>
          <w:sz w:val="24"/>
        </w:rPr>
        <w:t>供应商应当提供的资格、资质性文件及其他类似效力的要求的相关证明材料</w:t>
      </w:r>
    </w:p>
    <w:p>
      <w:pPr>
        <w:spacing w:line="360" w:lineRule="auto"/>
        <w:ind w:firstLine="120" w:firstLineChars="50"/>
        <w:outlineLvl w:val="5"/>
        <w:rPr>
          <w:rFonts w:hint="eastAsia" w:ascii="宋体" w:hAnsi="宋体" w:eastAsia="宋体" w:cs="宋体"/>
          <w:b/>
          <w:sz w:val="24"/>
        </w:rPr>
      </w:pPr>
      <w:r>
        <w:rPr>
          <w:rFonts w:hint="eastAsia" w:ascii="宋体" w:hAnsi="宋体" w:eastAsia="宋体" w:cs="宋体"/>
          <w:b/>
          <w:sz w:val="24"/>
        </w:rPr>
        <w:t>（一）供应商应具备《中华人民共和国采购法》第二十二条规定的下列条件：</w:t>
      </w:r>
    </w:p>
    <w:p>
      <w:pPr>
        <w:shd w:val="clear" w:color="auto" w:fill="FFFFFF"/>
        <w:tabs>
          <w:tab w:val="left" w:pos="900"/>
        </w:tabs>
        <w:snapToGrid w:val="0"/>
        <w:spacing w:line="360" w:lineRule="auto"/>
        <w:outlineLvl w:val="5"/>
        <w:rPr>
          <w:rFonts w:hint="eastAsia" w:ascii="宋体" w:hAnsi="宋体" w:eastAsia="宋体" w:cs="宋体"/>
          <w:sz w:val="24"/>
        </w:rPr>
      </w:pPr>
      <w:bookmarkStart w:id="100" w:name="_Toc320624218"/>
      <w:bookmarkEnd w:id="100"/>
      <w:bookmarkStart w:id="101" w:name="_Toc320624214"/>
      <w:bookmarkEnd w:id="101"/>
      <w:bookmarkStart w:id="102" w:name="_Toc320624217"/>
      <w:bookmarkEnd w:id="102"/>
      <w:bookmarkStart w:id="103" w:name="_Toc320624221"/>
      <w:bookmarkEnd w:id="103"/>
      <w:bookmarkStart w:id="104" w:name="_Toc320624215"/>
      <w:bookmarkEnd w:id="104"/>
      <w:bookmarkStart w:id="105" w:name="_Toc320624219"/>
      <w:bookmarkEnd w:id="105"/>
      <w:bookmarkStart w:id="106" w:name="_Toc320624223"/>
      <w:bookmarkEnd w:id="106"/>
      <w:bookmarkStart w:id="107" w:name="_Toc320624222"/>
      <w:bookmarkEnd w:id="107"/>
      <w:bookmarkStart w:id="108" w:name="_Toc320624213"/>
      <w:bookmarkEnd w:id="108"/>
      <w:bookmarkStart w:id="109" w:name="_Toc320624216"/>
      <w:bookmarkEnd w:id="109"/>
      <w:bookmarkStart w:id="110" w:name="_Toc320624224"/>
      <w:bookmarkEnd w:id="110"/>
      <w:bookmarkStart w:id="111" w:name="_Toc320624212"/>
      <w:bookmarkEnd w:id="111"/>
      <w:bookmarkStart w:id="112" w:name="_Toc320624220"/>
      <w:bookmarkEnd w:id="112"/>
      <w:r>
        <w:rPr>
          <w:rFonts w:hint="eastAsia" w:ascii="宋体" w:hAnsi="宋体" w:eastAsia="宋体" w:cs="宋体"/>
          <w:b/>
          <w:sz w:val="24"/>
        </w:rPr>
        <w:t xml:space="preserve">   1.具有独立承担民事责任的能力提供以下证明材料：</w:t>
      </w:r>
    </w:p>
    <w:p>
      <w:pPr>
        <w:tabs>
          <w:tab w:val="left" w:pos="1134"/>
        </w:tabs>
        <w:spacing w:line="360" w:lineRule="auto"/>
        <w:ind w:left="1148" w:leftChars="229" w:hanging="369" w:hangingChars="154"/>
        <w:outlineLvl w:val="5"/>
        <w:rPr>
          <w:rFonts w:hint="eastAsia" w:ascii="宋体" w:hAnsi="宋体" w:eastAsia="宋体" w:cs="宋体"/>
          <w:sz w:val="24"/>
        </w:rPr>
      </w:pPr>
      <w:r>
        <w:rPr>
          <w:rFonts w:hint="eastAsia" w:ascii="宋体" w:hAnsi="宋体" w:eastAsia="宋体" w:cs="宋体"/>
          <w:sz w:val="24"/>
        </w:rPr>
        <w:t>（1）独立法人机构提供下述证明材料：</w:t>
      </w:r>
    </w:p>
    <w:p>
      <w:pPr>
        <w:tabs>
          <w:tab w:val="left" w:pos="1134"/>
        </w:tabs>
        <w:spacing w:line="360" w:lineRule="auto"/>
        <w:outlineLvl w:val="5"/>
        <w:rPr>
          <w:rFonts w:hint="eastAsia" w:ascii="宋体" w:hAnsi="宋体" w:eastAsia="宋体" w:cs="宋体"/>
          <w:sz w:val="24"/>
        </w:rPr>
      </w:pPr>
      <w:r>
        <w:rPr>
          <w:rFonts w:hint="eastAsia" w:ascii="宋体" w:hAnsi="宋体" w:eastAsia="宋体" w:cs="宋体"/>
          <w:sz w:val="24"/>
        </w:rPr>
        <w:t xml:space="preserve">    营业执照副本复印件（注：①在有效期内；②具有独立法人资格；）、组织机构代码证副本复印件（注：①在有效期内）】或</w:t>
      </w:r>
      <w:r>
        <w:rPr>
          <w:rFonts w:hint="eastAsia" w:hAnsi="宋体" w:cs="宋体"/>
          <w:sz w:val="24"/>
          <w:shd w:val="clear" w:color="auto" w:fill="FFFFFF"/>
          <w:lang w:val="en-US" w:eastAsia="zh-CN"/>
        </w:rPr>
        <w:t>市场监督管理部门</w:t>
      </w:r>
      <w:r>
        <w:rPr>
          <w:rFonts w:hint="eastAsia" w:ascii="宋体" w:hAnsi="宋体" w:eastAsia="宋体" w:cs="宋体"/>
          <w:sz w:val="24"/>
          <w:shd w:val="clear" w:color="auto" w:fill="FFFFFF"/>
        </w:rPr>
        <w:t>新颁发的营业执照复印件（有效期内）</w:t>
      </w:r>
      <w:r>
        <w:rPr>
          <w:rFonts w:hint="eastAsia" w:ascii="宋体" w:hAnsi="宋体" w:eastAsia="宋体" w:cs="宋体"/>
          <w:sz w:val="24"/>
        </w:rPr>
        <w:t>。</w:t>
      </w:r>
    </w:p>
    <w:p>
      <w:pPr>
        <w:tabs>
          <w:tab w:val="left" w:pos="1134"/>
          <w:tab w:val="right" w:pos="9440"/>
        </w:tabs>
        <w:spacing w:line="360" w:lineRule="auto"/>
        <w:jc w:val="left"/>
        <w:rPr>
          <w:rFonts w:hint="eastAsia" w:ascii="宋体" w:hAnsi="宋体" w:eastAsia="宋体" w:cs="宋体"/>
          <w:sz w:val="24"/>
        </w:rPr>
      </w:pPr>
      <w:r>
        <w:rPr>
          <w:rFonts w:hint="eastAsia" w:ascii="宋体" w:hAnsi="宋体" w:eastAsia="宋体" w:cs="宋体"/>
          <w:sz w:val="24"/>
        </w:rPr>
        <w:t xml:space="preserve">    （2）其他组织或自然人提供具有承担民事责任的能力的证明材料复印件；</w:t>
      </w:r>
    </w:p>
    <w:p>
      <w:pPr>
        <w:tabs>
          <w:tab w:val="left" w:pos="1134"/>
        </w:tabs>
        <w:spacing w:line="360" w:lineRule="auto"/>
        <w:outlineLvl w:val="5"/>
        <w:rPr>
          <w:rFonts w:hint="eastAsia" w:ascii="宋体" w:hAnsi="宋体" w:eastAsia="宋体" w:cs="宋体"/>
          <w:b/>
          <w:sz w:val="24"/>
        </w:rPr>
      </w:pPr>
      <w:r>
        <w:rPr>
          <w:rFonts w:hint="eastAsia" w:ascii="宋体" w:hAnsi="宋体" w:eastAsia="宋体" w:cs="宋体"/>
          <w:b/>
          <w:sz w:val="24"/>
        </w:rPr>
        <w:t xml:space="preserve">   2.具有良好的商业信誉和健全的财务会计制度提供以下证明材料：</w:t>
      </w:r>
    </w:p>
    <w:p>
      <w:pPr>
        <w:widowControl/>
        <w:tabs>
          <w:tab w:val="left" w:pos="1134"/>
        </w:tabs>
        <w:spacing w:line="360" w:lineRule="auto"/>
        <w:ind w:left="1078" w:leftChars="176" w:hanging="480" w:hangingChars="200"/>
        <w:jc w:val="left"/>
        <w:outlineLvl w:val="5"/>
        <w:rPr>
          <w:rFonts w:hint="eastAsia" w:ascii="宋体" w:hAnsi="宋体" w:eastAsia="宋体" w:cs="宋体"/>
          <w:sz w:val="24"/>
        </w:rPr>
      </w:pPr>
      <w:r>
        <w:rPr>
          <w:rFonts w:hint="eastAsia" w:ascii="宋体" w:hAnsi="宋体" w:eastAsia="宋体" w:cs="宋体"/>
          <w:sz w:val="24"/>
        </w:rPr>
        <w:t>（1）具有健全的财务会计制度（</w:t>
      </w:r>
      <w:r>
        <w:rPr>
          <w:rFonts w:hint="eastAsia" w:hAnsi="宋体" w:cs="宋体"/>
          <w:sz w:val="24"/>
          <w:lang w:val="en-US" w:eastAsia="zh-CN"/>
        </w:rPr>
        <w:t>2020</w:t>
      </w:r>
      <w:r>
        <w:rPr>
          <w:rFonts w:hint="eastAsia" w:ascii="宋体" w:hAnsi="宋体" w:eastAsia="宋体" w:cs="宋体"/>
          <w:sz w:val="24"/>
        </w:rPr>
        <w:t>年度或</w:t>
      </w:r>
      <w:r>
        <w:rPr>
          <w:rFonts w:hint="eastAsia" w:hAnsi="宋体" w:cs="宋体"/>
          <w:sz w:val="24"/>
          <w:lang w:val="en-US" w:eastAsia="zh-CN"/>
        </w:rPr>
        <w:t>2021</w:t>
      </w:r>
      <w:r>
        <w:rPr>
          <w:rFonts w:hint="eastAsia" w:ascii="宋体" w:hAnsi="宋体" w:eastAsia="宋体" w:cs="宋体"/>
          <w:sz w:val="24"/>
        </w:rPr>
        <w:t>年度财务状况（供应商可根据自身实际情况任选其一提供以下证明材料））：</w:t>
      </w:r>
    </w:p>
    <w:p>
      <w:pPr>
        <w:widowControl/>
        <w:tabs>
          <w:tab w:val="left" w:pos="1134"/>
        </w:tabs>
        <w:spacing w:line="360" w:lineRule="auto"/>
        <w:ind w:left="1178" w:leftChars="276" w:hanging="240" w:hangingChars="100"/>
        <w:jc w:val="left"/>
        <w:outlineLvl w:val="5"/>
        <w:rPr>
          <w:rFonts w:hint="eastAsia" w:ascii="宋体" w:hAnsi="宋体" w:eastAsia="宋体" w:cs="宋体"/>
          <w:sz w:val="24"/>
        </w:rPr>
      </w:pPr>
      <w:r>
        <w:rPr>
          <w:rFonts w:hint="eastAsia" w:ascii="宋体" w:hAnsi="宋体" w:eastAsia="宋体" w:cs="宋体"/>
          <w:sz w:val="24"/>
        </w:rPr>
        <w:t>①可提供</w:t>
      </w:r>
      <w:r>
        <w:rPr>
          <w:rFonts w:hint="eastAsia" w:hAnsi="宋体" w:cs="宋体"/>
          <w:sz w:val="24"/>
          <w:lang w:val="en-US" w:eastAsia="zh-CN"/>
        </w:rPr>
        <w:t>2020</w:t>
      </w:r>
      <w:r>
        <w:rPr>
          <w:rFonts w:hint="eastAsia" w:ascii="宋体" w:hAnsi="宋体" w:eastAsia="宋体" w:cs="宋体"/>
          <w:sz w:val="24"/>
        </w:rPr>
        <w:t>年度或</w:t>
      </w:r>
      <w:r>
        <w:rPr>
          <w:rFonts w:hint="eastAsia" w:hAnsi="宋体" w:cs="宋体"/>
          <w:sz w:val="24"/>
          <w:lang w:val="en-US" w:eastAsia="zh-CN"/>
        </w:rPr>
        <w:t>2021</w:t>
      </w:r>
      <w:r>
        <w:rPr>
          <w:rFonts w:hint="eastAsia" w:ascii="宋体" w:hAnsi="宋体" w:eastAsia="宋体" w:cs="宋体"/>
          <w:sz w:val="24"/>
        </w:rPr>
        <w:t>年度经审计的财务报告复印件（包含审计报告和审计报告中所涉及的财务报表和报表附注）；</w:t>
      </w:r>
    </w:p>
    <w:p>
      <w:pPr>
        <w:widowControl/>
        <w:tabs>
          <w:tab w:val="left" w:pos="1134"/>
        </w:tabs>
        <w:spacing w:line="360" w:lineRule="auto"/>
        <w:ind w:left="1178" w:leftChars="276" w:hanging="240" w:hangingChars="100"/>
        <w:jc w:val="left"/>
        <w:outlineLvl w:val="5"/>
        <w:rPr>
          <w:rFonts w:hint="eastAsia" w:ascii="宋体" w:hAnsi="宋体" w:eastAsia="宋体" w:cs="宋体"/>
          <w:sz w:val="24"/>
        </w:rPr>
      </w:pPr>
      <w:r>
        <w:rPr>
          <w:rFonts w:hint="eastAsia" w:ascii="宋体" w:hAnsi="宋体" w:eastAsia="宋体" w:cs="宋体"/>
          <w:sz w:val="24"/>
        </w:rPr>
        <w:t>②也可提供</w:t>
      </w:r>
      <w:r>
        <w:rPr>
          <w:rFonts w:hint="eastAsia" w:hAnsi="宋体" w:cs="宋体"/>
          <w:sz w:val="24"/>
          <w:lang w:val="en-US" w:eastAsia="zh-CN"/>
        </w:rPr>
        <w:t>2020</w:t>
      </w:r>
      <w:r>
        <w:rPr>
          <w:rFonts w:hint="eastAsia" w:ascii="宋体" w:hAnsi="宋体" w:eastAsia="宋体" w:cs="宋体"/>
          <w:sz w:val="24"/>
        </w:rPr>
        <w:t>年度或</w:t>
      </w:r>
      <w:r>
        <w:rPr>
          <w:rFonts w:hint="eastAsia" w:hAnsi="宋体" w:cs="宋体"/>
          <w:sz w:val="24"/>
          <w:lang w:val="en-US" w:eastAsia="zh-CN"/>
        </w:rPr>
        <w:t>2021</w:t>
      </w:r>
      <w:r>
        <w:rPr>
          <w:rFonts w:hint="eastAsia" w:ascii="宋体" w:hAnsi="宋体" w:eastAsia="宋体" w:cs="宋体"/>
          <w:sz w:val="24"/>
        </w:rPr>
        <w:t xml:space="preserve">年度供应商内部的财务报表复印件（至少包含资产负债表）； </w:t>
      </w:r>
    </w:p>
    <w:p>
      <w:pPr>
        <w:widowControl/>
        <w:tabs>
          <w:tab w:val="left" w:pos="1134"/>
        </w:tabs>
        <w:spacing w:line="360" w:lineRule="auto"/>
        <w:ind w:left="598" w:leftChars="176" w:firstLine="480"/>
        <w:jc w:val="left"/>
        <w:outlineLvl w:val="5"/>
        <w:rPr>
          <w:rFonts w:hint="eastAsia" w:ascii="宋体" w:hAnsi="宋体" w:eastAsia="宋体" w:cs="宋体"/>
          <w:sz w:val="24"/>
          <w:u w:val="single"/>
        </w:rPr>
      </w:pPr>
      <w:r>
        <w:rPr>
          <w:rFonts w:hint="eastAsia" w:ascii="宋体" w:hAnsi="宋体" w:eastAsia="宋体" w:cs="宋体"/>
          <w:sz w:val="24"/>
        </w:rPr>
        <w:t>③也可提供截至响应文件递交截止日一年内银行出具的资信证明（复印件）。</w:t>
      </w:r>
    </w:p>
    <w:p>
      <w:pPr>
        <w:widowControl/>
        <w:tabs>
          <w:tab w:val="left" w:pos="1134"/>
        </w:tabs>
        <w:spacing w:line="360" w:lineRule="auto"/>
        <w:ind w:left="598" w:leftChars="176" w:firstLine="480"/>
        <w:jc w:val="left"/>
        <w:outlineLvl w:val="5"/>
        <w:rPr>
          <w:rFonts w:hint="eastAsia" w:ascii="宋体" w:hAnsi="宋体" w:eastAsia="宋体" w:cs="宋体"/>
          <w:sz w:val="24"/>
        </w:rPr>
      </w:pPr>
      <w:r>
        <w:rPr>
          <w:rFonts w:hint="eastAsia" w:ascii="宋体" w:hAnsi="宋体" w:eastAsia="宋体" w:cs="宋体"/>
          <w:sz w:val="24"/>
        </w:rPr>
        <w:t>④供应商注册时间至文件递交截止日不足一年的，也可提供在</w:t>
      </w:r>
      <w:r>
        <w:rPr>
          <w:rFonts w:hint="eastAsia" w:hAnsi="宋体" w:cs="宋体"/>
          <w:sz w:val="24"/>
          <w:lang w:val="en-US" w:eastAsia="zh-CN"/>
        </w:rPr>
        <w:t>市场监督管理部门</w:t>
      </w:r>
      <w:r>
        <w:rPr>
          <w:rFonts w:hint="eastAsia" w:ascii="宋体" w:hAnsi="宋体" w:eastAsia="宋体" w:cs="宋体"/>
          <w:sz w:val="24"/>
        </w:rPr>
        <w:t>备案的公司章程（复印件））。</w:t>
      </w:r>
    </w:p>
    <w:p>
      <w:pPr>
        <w:widowControl/>
        <w:tabs>
          <w:tab w:val="left" w:pos="1134"/>
        </w:tabs>
        <w:spacing w:line="360" w:lineRule="auto"/>
        <w:ind w:firstLine="480" w:firstLineChars="200"/>
        <w:jc w:val="left"/>
        <w:outlineLvl w:val="5"/>
        <w:rPr>
          <w:rFonts w:hint="eastAsia" w:ascii="宋体" w:hAnsi="宋体" w:eastAsia="宋体" w:cs="宋体"/>
          <w:sz w:val="24"/>
          <w:lang w:val="zh-CN"/>
        </w:rPr>
      </w:pPr>
      <w:r>
        <w:rPr>
          <w:rFonts w:hint="eastAsia" w:ascii="宋体" w:hAnsi="宋体" w:eastAsia="宋体" w:cs="宋体"/>
          <w:sz w:val="24"/>
          <w:lang w:val="zh-CN"/>
        </w:rPr>
        <w:t>（2）具有良好的商业信誉可提供承诺书原件【格式可自拟】。</w:t>
      </w:r>
    </w:p>
    <w:p>
      <w:pPr>
        <w:tabs>
          <w:tab w:val="left" w:pos="1134"/>
        </w:tabs>
        <w:spacing w:line="360" w:lineRule="auto"/>
        <w:outlineLvl w:val="5"/>
        <w:rPr>
          <w:rFonts w:hint="eastAsia" w:ascii="宋体" w:hAnsi="宋体" w:eastAsia="宋体" w:cs="宋体"/>
          <w:b/>
          <w:sz w:val="24"/>
        </w:rPr>
      </w:pPr>
      <w:r>
        <w:rPr>
          <w:rFonts w:hint="eastAsia" w:ascii="宋体" w:hAnsi="宋体" w:eastAsia="宋体" w:cs="宋体"/>
          <w:b/>
          <w:sz w:val="24"/>
        </w:rPr>
        <w:t xml:space="preserve">   3.具有履行合同所必需的产品和专业技术能力的证明材料：</w:t>
      </w:r>
    </w:p>
    <w:p>
      <w:pPr>
        <w:spacing w:line="360" w:lineRule="auto"/>
        <w:rPr>
          <w:rFonts w:hint="eastAsia" w:ascii="宋体" w:hAnsi="宋体" w:eastAsia="宋体" w:cs="宋体"/>
          <w:sz w:val="24"/>
        </w:rPr>
      </w:pPr>
      <w:r>
        <w:rPr>
          <w:rFonts w:hint="eastAsia" w:ascii="宋体" w:hAnsi="宋体" w:eastAsia="宋体" w:cs="宋体"/>
          <w:sz w:val="24"/>
        </w:rPr>
        <w:t xml:space="preserve">    （1）供应商自行提供或提供承诺函原件。</w:t>
      </w:r>
    </w:p>
    <w:p>
      <w:pPr>
        <w:pStyle w:val="25"/>
        <w:ind w:firstLine="0" w:firstLineChars="0"/>
        <w:rPr>
          <w:rFonts w:hint="eastAsia" w:ascii="宋体" w:hAnsi="宋体" w:eastAsia="宋体" w:cs="宋体"/>
          <w:b/>
          <w:sz w:val="24"/>
        </w:rPr>
      </w:pPr>
      <w:r>
        <w:rPr>
          <w:rFonts w:hint="eastAsia" w:ascii="宋体" w:hAnsi="宋体" w:eastAsia="宋体" w:cs="宋体"/>
          <w:b/>
          <w:sz w:val="24"/>
        </w:rPr>
        <w:t>（二）根据采购项目提出的特殊条件：</w:t>
      </w:r>
    </w:p>
    <w:p>
      <w:pPr>
        <w:spacing w:line="360" w:lineRule="auto"/>
        <w:ind w:firstLine="480" w:firstLineChars="200"/>
        <w:rPr>
          <w:rFonts w:hint="eastAsia" w:ascii="宋体" w:hAnsi="宋体" w:eastAsia="宋体" w:cs="宋体"/>
          <w:b/>
          <w:sz w:val="24"/>
        </w:rPr>
      </w:pPr>
      <w:bookmarkStart w:id="113" w:name="_Toc20583"/>
      <w:bookmarkStart w:id="114" w:name="_Toc217446093"/>
      <w:bookmarkStart w:id="115" w:name="_Toc7890"/>
      <w:r>
        <w:rPr>
          <w:rFonts w:hint="eastAsia" w:ascii="宋体" w:hAnsi="宋体" w:eastAsia="宋体" w:cs="宋体"/>
          <w:sz w:val="24"/>
          <w:szCs w:val="24"/>
        </w:rPr>
        <w:t>1. 供应商商家相关资质(企业营业执照、医疗器械经营许可证等) 、生产企业及产品相关资质（营业执照、医疗器械生产许可证、产品注册证、产品注册登记表等）等。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本次项目商家法人代表身份证复印件或商家代表授权委托书原件、身份证复印件。</w:t>
      </w:r>
    </w:p>
    <w:p>
      <w:pPr>
        <w:ind w:firstLine="480"/>
        <w:rPr>
          <w:rFonts w:hint="eastAsia" w:ascii="宋体" w:hAnsi="宋体" w:eastAsia="宋体" w:cs="宋体"/>
        </w:rPr>
      </w:pPr>
    </w:p>
    <w:p>
      <w:pPr>
        <w:pStyle w:val="4"/>
        <w:rPr>
          <w:rFonts w:hint="eastAsia" w:ascii="宋体" w:hAnsi="宋体" w:eastAsia="宋体" w:cs="宋体"/>
        </w:rPr>
      </w:pPr>
      <w:bookmarkStart w:id="116" w:name="_Toc6363"/>
    </w:p>
    <w:p>
      <w:pPr>
        <w:pStyle w:val="4"/>
        <w:jc w:val="both"/>
        <w:rPr>
          <w:rFonts w:hint="eastAsia" w:ascii="宋体" w:hAnsi="宋体" w:eastAsia="宋体" w:cs="宋体"/>
        </w:rPr>
      </w:pPr>
    </w:p>
    <w:p>
      <w:pPr>
        <w:rPr>
          <w:rFonts w:hint="eastAsia"/>
        </w:rPr>
      </w:pPr>
    </w:p>
    <w:p>
      <w:pPr>
        <w:pStyle w:val="4"/>
        <w:rPr>
          <w:rFonts w:hint="eastAsia" w:ascii="宋体" w:hAnsi="宋体" w:eastAsia="宋体" w:cs="宋体"/>
        </w:rPr>
      </w:pPr>
      <w:r>
        <w:rPr>
          <w:rFonts w:hint="eastAsia" w:ascii="宋体" w:hAnsi="宋体" w:eastAsia="宋体" w:cs="宋体"/>
        </w:rPr>
        <w:t xml:space="preserve">第六章 </w:t>
      </w:r>
      <w:bookmarkEnd w:id="113"/>
      <w:bookmarkEnd w:id="114"/>
      <w:bookmarkEnd w:id="115"/>
      <w:bookmarkStart w:id="117" w:name="_Toc217446094"/>
      <w:r>
        <w:rPr>
          <w:rFonts w:hint="eastAsia" w:ascii="宋体" w:hAnsi="宋体" w:eastAsia="宋体" w:cs="宋体"/>
        </w:rPr>
        <w:t>本项目技术、服务、采购履约主要条款及其他要求条款</w:t>
      </w:r>
      <w:bookmarkEnd w:id="116"/>
    </w:p>
    <w:p>
      <w:pPr>
        <w:pStyle w:val="5"/>
        <w:keepNext w:val="0"/>
        <w:keepLines w:val="0"/>
        <w:spacing w:before="0" w:after="0" w:line="400" w:lineRule="exact"/>
        <w:ind w:firstLine="118" w:firstLineChars="49"/>
        <w:jc w:val="left"/>
        <w:rPr>
          <w:rFonts w:hint="eastAsia" w:ascii="宋体" w:hAnsi="宋体" w:eastAsia="宋体" w:cs="宋体"/>
          <w:sz w:val="24"/>
          <w:szCs w:val="24"/>
        </w:rPr>
      </w:pPr>
      <w:r>
        <w:rPr>
          <w:rFonts w:hint="eastAsia" w:ascii="宋体" w:hAnsi="宋体" w:eastAsia="宋体" w:cs="宋体"/>
          <w:sz w:val="24"/>
          <w:szCs w:val="24"/>
        </w:rPr>
        <w:t>前提：本章采购需求中标注“*”号的条款为本次采购项目的实质性要求，供应商应全部满足。</w:t>
      </w:r>
    </w:p>
    <w:p>
      <w:pPr>
        <w:rPr>
          <w:rFonts w:hint="eastAsia" w:ascii="宋体" w:hAnsi="宋体" w:eastAsia="宋体" w:cs="宋体"/>
        </w:rPr>
      </w:pPr>
    </w:p>
    <w:p>
      <w:pPr>
        <w:pStyle w:val="2"/>
        <w:rPr>
          <w:rFonts w:hint="eastAsia" w:ascii="宋体" w:hAnsi="宋体" w:eastAsia="宋体" w:cs="宋体"/>
          <w:b/>
          <w:kern w:val="2"/>
          <w:sz w:val="24"/>
          <w:szCs w:val="24"/>
        </w:rPr>
      </w:pPr>
    </w:p>
    <w:p>
      <w:pPr>
        <w:pStyle w:val="2"/>
        <w:rPr>
          <w:rFonts w:hint="eastAsia" w:ascii="宋体" w:hAnsi="宋体" w:eastAsia="宋体" w:cs="宋体"/>
          <w:b/>
          <w:kern w:val="2"/>
          <w:sz w:val="24"/>
          <w:szCs w:val="24"/>
        </w:rPr>
      </w:pPr>
    </w:p>
    <w:p>
      <w:pPr>
        <w:pStyle w:val="2"/>
        <w:rPr>
          <w:rFonts w:hint="eastAsia" w:ascii="宋体" w:hAnsi="宋体" w:eastAsia="宋体" w:cs="宋体"/>
          <w:b/>
          <w:kern w:val="2"/>
          <w:sz w:val="24"/>
          <w:szCs w:val="24"/>
        </w:rPr>
      </w:pPr>
      <w:r>
        <w:rPr>
          <w:rFonts w:hint="eastAsia" w:ascii="宋体" w:hAnsi="宋体" w:eastAsia="宋体" w:cs="宋体"/>
          <w:b/>
          <w:kern w:val="2"/>
          <w:sz w:val="24"/>
          <w:szCs w:val="24"/>
        </w:rPr>
        <w:t>第一部分：</w:t>
      </w:r>
    </w:p>
    <w:p>
      <w:pPr>
        <w:pStyle w:val="3"/>
        <w:jc w:val="left"/>
        <w:rPr>
          <w:rFonts w:hint="eastAsia" w:ascii="宋体" w:hAnsi="宋体" w:eastAsia="宋体" w:cs="宋体"/>
          <w:b/>
          <w:kern w:val="2"/>
          <w:sz w:val="24"/>
          <w:szCs w:val="24"/>
        </w:rPr>
      </w:pPr>
      <w:r>
        <w:rPr>
          <w:rFonts w:hint="eastAsia" w:ascii="宋体" w:hAnsi="宋体" w:eastAsia="宋体" w:cs="宋体"/>
          <w:b/>
          <w:kern w:val="2"/>
          <w:sz w:val="24"/>
          <w:szCs w:val="24"/>
        </w:rPr>
        <w:t>一、采购项目明细：</w:t>
      </w:r>
    </w:p>
    <w:tbl>
      <w:tblPr>
        <w:tblStyle w:val="2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814"/>
        <w:gridCol w:w="1900"/>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14" w:type="dxa"/>
          </w:tcPr>
          <w:p>
            <w:pPr>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900" w:type="dxa"/>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2615" w:type="dxa"/>
          </w:tcPr>
          <w:p>
            <w:pPr>
              <w:jc w:val="center"/>
              <w:rPr>
                <w:rFonts w:hint="eastAsia" w:ascii="宋体" w:hAnsi="宋体" w:eastAsia="宋体" w:cs="宋体"/>
                <w:sz w:val="24"/>
                <w:szCs w:val="24"/>
              </w:rPr>
            </w:pPr>
            <w:r>
              <w:rPr>
                <w:rFonts w:hint="eastAsia" w:ascii="宋体" w:hAnsi="宋体" w:eastAsia="宋体" w:cs="宋体"/>
                <w:sz w:val="24"/>
                <w:szCs w:val="24"/>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1" w:type="dxa"/>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814" w:type="dxa"/>
          </w:tcPr>
          <w:p>
            <w:pPr>
              <w:rPr>
                <w:rFonts w:hint="eastAsia" w:ascii="宋体" w:hAnsi="宋体" w:eastAsia="宋体" w:cs="宋体"/>
                <w:sz w:val="24"/>
                <w:szCs w:val="24"/>
              </w:rPr>
            </w:pPr>
            <w:r>
              <w:rPr>
                <w:rFonts w:hint="eastAsia" w:ascii="宋体" w:hAnsi="宋体" w:eastAsia="宋体" w:cs="宋体"/>
                <w:sz w:val="24"/>
                <w:szCs w:val="24"/>
                <w:lang w:val="en-US" w:eastAsia="zh-CN"/>
              </w:rPr>
              <w:t>便携式快速</w:t>
            </w:r>
            <w:r>
              <w:rPr>
                <w:rFonts w:hint="eastAsia" w:ascii="宋体" w:hAnsi="宋体" w:eastAsia="宋体" w:cs="宋体"/>
                <w:sz w:val="24"/>
                <w:szCs w:val="24"/>
              </w:rPr>
              <w:t>实时荧光定量PCR分析仪</w:t>
            </w:r>
          </w:p>
        </w:tc>
        <w:tc>
          <w:tcPr>
            <w:tcW w:w="1900" w:type="dxa"/>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615" w:type="dxa"/>
          </w:tcPr>
          <w:p>
            <w:pPr>
              <w:jc w:val="center"/>
              <w:rPr>
                <w:rFonts w:hint="eastAsia" w:ascii="宋体" w:hAnsi="宋体" w:eastAsia="宋体" w:cs="宋体"/>
                <w:sz w:val="24"/>
                <w:szCs w:val="24"/>
                <w:lang w:val="en-US" w:eastAsia="zh-CN"/>
              </w:rPr>
            </w:pPr>
            <w:r>
              <w:rPr>
                <w:rFonts w:hint="eastAsia" w:hAnsi="宋体" w:cs="宋体"/>
                <w:sz w:val="24"/>
                <w:szCs w:val="24"/>
                <w:lang w:val="en-US" w:eastAsia="zh-CN"/>
              </w:rPr>
              <w:t>9</w:t>
            </w:r>
          </w:p>
        </w:tc>
      </w:tr>
    </w:tbl>
    <w:p>
      <w:pPr>
        <w:spacing w:line="360" w:lineRule="auto"/>
        <w:rPr>
          <w:rFonts w:hint="eastAsia" w:ascii="宋体" w:hAnsi="宋体" w:eastAsia="宋体" w:cs="宋体"/>
          <w:b/>
          <w:kern w:val="2"/>
          <w:sz w:val="24"/>
          <w:szCs w:val="24"/>
        </w:rPr>
      </w:pPr>
    </w:p>
    <w:p>
      <w:pPr>
        <w:spacing w:line="360" w:lineRule="auto"/>
        <w:rPr>
          <w:rFonts w:hint="eastAsia" w:ascii="宋体" w:hAnsi="宋体" w:eastAsia="宋体" w:cs="宋体"/>
        </w:rPr>
      </w:pPr>
      <w:r>
        <w:rPr>
          <w:rFonts w:hint="eastAsia" w:ascii="宋体" w:hAnsi="宋体" w:eastAsia="宋体" w:cs="宋体"/>
          <w:b/>
          <w:kern w:val="2"/>
          <w:sz w:val="24"/>
          <w:szCs w:val="24"/>
        </w:rPr>
        <w:t>二、技术参数</w:t>
      </w:r>
    </w:p>
    <w:p>
      <w:pPr>
        <w:pStyle w:val="2"/>
        <w:spacing w:line="360" w:lineRule="auto"/>
        <w:rPr>
          <w:rFonts w:hint="eastAsia" w:ascii="宋体" w:hAnsi="宋体" w:eastAsia="宋体" w:cs="宋体"/>
          <w:b/>
          <w:sz w:val="24"/>
          <w:szCs w:val="24"/>
        </w:rPr>
      </w:pPr>
      <w:r>
        <w:rPr>
          <w:rFonts w:hint="eastAsia" w:ascii="宋体" w:hAnsi="宋体" w:eastAsia="宋体" w:cs="宋体"/>
          <w:b/>
          <w:bCs/>
          <w:sz w:val="24"/>
          <w:szCs w:val="24"/>
          <w:lang w:val="en-US" w:eastAsia="zh-CN"/>
        </w:rPr>
        <w:t>一、便携式快速</w:t>
      </w:r>
      <w:r>
        <w:rPr>
          <w:rFonts w:hint="eastAsia" w:ascii="宋体" w:hAnsi="宋体" w:eastAsia="宋体" w:cs="宋体"/>
          <w:b/>
          <w:bCs/>
          <w:sz w:val="24"/>
          <w:szCs w:val="24"/>
        </w:rPr>
        <w:t>实时荧光定量PCR分析仪</w:t>
      </w:r>
    </w:p>
    <w:p>
      <w:pPr>
        <w:numPr>
          <w:ilvl w:val="0"/>
          <w:numId w:val="5"/>
        </w:numPr>
        <w:rPr>
          <w:rFonts w:hint="eastAsia" w:ascii="宋体" w:hAnsi="宋体" w:eastAsia="宋体" w:cs="宋体"/>
          <w:sz w:val="24"/>
        </w:rPr>
      </w:pPr>
      <w:r>
        <w:rPr>
          <w:rFonts w:hint="eastAsia" w:ascii="宋体" w:hAnsi="宋体" w:eastAsia="宋体" w:cs="宋体"/>
          <w:sz w:val="24"/>
        </w:rPr>
        <w:t>样本容量：8/16×0.2ml离心管（5-100μl）,适应常规0.2ml8联管及单管</w:t>
      </w:r>
    </w:p>
    <w:p>
      <w:pPr>
        <w:numPr>
          <w:ilvl w:val="0"/>
          <w:numId w:val="5"/>
        </w:numPr>
        <w:rPr>
          <w:rFonts w:hint="eastAsia" w:ascii="宋体" w:hAnsi="宋体" w:eastAsia="宋体" w:cs="宋体"/>
          <w:sz w:val="24"/>
        </w:rPr>
      </w:pPr>
      <w:r>
        <w:rPr>
          <w:rFonts w:hint="eastAsia" w:ascii="宋体" w:hAnsi="宋体" w:eastAsia="宋体" w:cs="宋体"/>
          <w:sz w:val="24"/>
        </w:rPr>
        <w:t>反应灵敏度：10-10</w:t>
      </w:r>
      <w:r>
        <w:rPr>
          <w:rFonts w:hint="eastAsia" w:ascii="宋体" w:hAnsi="宋体" w:eastAsia="宋体" w:cs="宋体"/>
          <w:sz w:val="24"/>
          <w:vertAlign w:val="superscript"/>
        </w:rPr>
        <w:t>10</w:t>
      </w:r>
      <w:r>
        <w:rPr>
          <w:rFonts w:hint="eastAsia" w:ascii="宋体" w:hAnsi="宋体" w:eastAsia="宋体" w:cs="宋体"/>
          <w:sz w:val="24"/>
        </w:rPr>
        <w:t>Copies</w:t>
      </w:r>
    </w:p>
    <w:p>
      <w:pPr>
        <w:numPr>
          <w:ilvl w:val="0"/>
          <w:numId w:val="5"/>
        </w:numPr>
        <w:rPr>
          <w:rFonts w:hint="eastAsia" w:ascii="宋体" w:hAnsi="宋体" w:eastAsia="宋体" w:cs="宋体"/>
          <w:sz w:val="24"/>
        </w:rPr>
      </w:pPr>
      <w:r>
        <w:rPr>
          <w:rFonts w:hint="eastAsia" w:ascii="宋体" w:hAnsi="宋体" w:eastAsia="宋体" w:cs="宋体"/>
          <w:sz w:val="24"/>
        </w:rPr>
        <w:t>荧光染料：F1：FAM、SYBR GreenⅠ；F2：HEX、VIC、JOE、TET、YELLOW；F3:ROX；F4：CY5</w:t>
      </w:r>
    </w:p>
    <w:p>
      <w:pPr>
        <w:numPr>
          <w:ilvl w:val="0"/>
          <w:numId w:val="5"/>
        </w:numPr>
        <w:rPr>
          <w:rFonts w:hint="eastAsia" w:ascii="宋体" w:hAnsi="宋体" w:eastAsia="宋体" w:cs="宋体"/>
          <w:sz w:val="24"/>
        </w:rPr>
      </w:pPr>
      <w:r>
        <w:rPr>
          <w:rFonts w:hint="eastAsia" w:ascii="宋体" w:hAnsi="宋体" w:eastAsia="宋体" w:cs="宋体"/>
          <w:sz w:val="24"/>
        </w:rPr>
        <w:t>通道数：四通道</w:t>
      </w:r>
    </w:p>
    <w:p>
      <w:pPr>
        <w:numPr>
          <w:ilvl w:val="0"/>
          <w:numId w:val="5"/>
        </w:numPr>
        <w:rPr>
          <w:rFonts w:hint="eastAsia" w:ascii="宋体" w:hAnsi="宋体" w:eastAsia="宋体" w:cs="宋体"/>
          <w:sz w:val="24"/>
        </w:rPr>
      </w:pPr>
      <w:r>
        <w:rPr>
          <w:rFonts w:hint="eastAsia" w:ascii="宋体" w:hAnsi="宋体" w:eastAsia="宋体" w:cs="宋体"/>
          <w:sz w:val="24"/>
        </w:rPr>
        <w:t>光学系统：LED+PD，扫描检测，保持结果一致性，免校准</w:t>
      </w:r>
    </w:p>
    <w:p>
      <w:pPr>
        <w:numPr>
          <w:ilvl w:val="0"/>
          <w:numId w:val="5"/>
        </w:numPr>
        <w:rPr>
          <w:rFonts w:hint="eastAsia" w:ascii="宋体" w:hAnsi="宋体" w:eastAsia="宋体" w:cs="宋体"/>
          <w:sz w:val="24"/>
        </w:rPr>
      </w:pPr>
      <w:r>
        <w:rPr>
          <w:rFonts w:hint="eastAsia" w:ascii="宋体" w:hAnsi="宋体" w:eastAsia="宋体" w:cs="宋体"/>
          <w:sz w:val="24"/>
        </w:rPr>
        <w:t>热盖温度范围：30-110℃</w:t>
      </w:r>
    </w:p>
    <w:p>
      <w:pPr>
        <w:numPr>
          <w:ilvl w:val="0"/>
          <w:numId w:val="5"/>
        </w:numPr>
        <w:rPr>
          <w:rFonts w:hint="eastAsia" w:ascii="宋体" w:hAnsi="宋体" w:eastAsia="宋体" w:cs="宋体"/>
          <w:sz w:val="24"/>
        </w:rPr>
      </w:pPr>
      <w:r>
        <w:rPr>
          <w:rFonts w:hint="eastAsia" w:ascii="宋体" w:hAnsi="宋体" w:eastAsia="宋体" w:cs="宋体"/>
          <w:sz w:val="24"/>
        </w:rPr>
        <w:t>检测试剂：开放式检测试剂耗材（通用常规PCR项目）</w:t>
      </w:r>
    </w:p>
    <w:p>
      <w:pPr>
        <w:numPr>
          <w:ilvl w:val="0"/>
          <w:numId w:val="5"/>
        </w:numPr>
        <w:rPr>
          <w:rFonts w:hint="eastAsia" w:ascii="宋体" w:hAnsi="宋体" w:eastAsia="宋体" w:cs="宋体"/>
          <w:sz w:val="24"/>
        </w:rPr>
      </w:pPr>
      <w:r>
        <w:rPr>
          <w:rFonts w:hint="eastAsia" w:ascii="宋体" w:hAnsi="宋体" w:eastAsia="宋体" w:cs="宋体"/>
          <w:sz w:val="24"/>
        </w:rPr>
        <w:t>温控范围：30℃-100℃</w:t>
      </w:r>
    </w:p>
    <w:p>
      <w:pPr>
        <w:numPr>
          <w:ilvl w:val="0"/>
          <w:numId w:val="5"/>
        </w:numPr>
        <w:rPr>
          <w:rFonts w:hint="eastAsia" w:ascii="宋体" w:hAnsi="宋体" w:eastAsia="宋体" w:cs="宋体"/>
          <w:sz w:val="24"/>
        </w:rPr>
      </w:pPr>
      <w:r>
        <w:rPr>
          <w:rFonts w:hint="eastAsia" w:ascii="宋体" w:hAnsi="宋体" w:eastAsia="宋体" w:cs="宋体"/>
          <w:sz w:val="24"/>
        </w:rPr>
        <w:t>均匀性：≤±0.1℃</w:t>
      </w:r>
    </w:p>
    <w:p>
      <w:pPr>
        <w:numPr>
          <w:ilvl w:val="0"/>
          <w:numId w:val="5"/>
        </w:numPr>
        <w:rPr>
          <w:rFonts w:hint="eastAsia" w:ascii="宋体" w:hAnsi="宋体" w:eastAsia="宋体" w:cs="宋体"/>
          <w:sz w:val="24"/>
        </w:rPr>
      </w:pPr>
      <w:r>
        <w:rPr>
          <w:rFonts w:hint="eastAsia" w:ascii="宋体" w:hAnsi="宋体" w:eastAsia="宋体" w:cs="宋体"/>
          <w:sz w:val="24"/>
        </w:rPr>
        <w:t>温控精度：≤±0.1℃</w:t>
      </w:r>
    </w:p>
    <w:p>
      <w:pPr>
        <w:numPr>
          <w:ilvl w:val="0"/>
          <w:numId w:val="5"/>
        </w:numPr>
        <w:rPr>
          <w:rFonts w:hint="eastAsia" w:ascii="宋体" w:hAnsi="宋体" w:eastAsia="宋体" w:cs="宋体"/>
          <w:sz w:val="24"/>
        </w:rPr>
      </w:pPr>
      <w:r>
        <w:rPr>
          <w:rFonts w:hint="eastAsia" w:ascii="宋体" w:hAnsi="宋体" w:eastAsia="宋体" w:cs="宋体"/>
          <w:sz w:val="24"/>
        </w:rPr>
        <w:t>升温速率：≥8℃/s(MAX)</w:t>
      </w:r>
    </w:p>
    <w:p>
      <w:pPr>
        <w:numPr>
          <w:ilvl w:val="0"/>
          <w:numId w:val="5"/>
        </w:numPr>
        <w:rPr>
          <w:rFonts w:hint="eastAsia" w:ascii="宋体" w:hAnsi="宋体" w:eastAsia="宋体" w:cs="宋体"/>
          <w:sz w:val="24"/>
        </w:rPr>
      </w:pPr>
      <w:r>
        <w:rPr>
          <w:rFonts w:hint="eastAsia" w:ascii="宋体" w:hAnsi="宋体" w:eastAsia="宋体" w:cs="宋体"/>
          <w:sz w:val="24"/>
        </w:rPr>
        <w:t>荧光强度检测重复性：CV≤0.5%</w:t>
      </w:r>
    </w:p>
    <w:p>
      <w:pPr>
        <w:numPr>
          <w:ilvl w:val="0"/>
          <w:numId w:val="5"/>
        </w:numPr>
        <w:rPr>
          <w:rFonts w:hint="eastAsia" w:ascii="宋体" w:hAnsi="宋体" w:eastAsia="宋体" w:cs="宋体"/>
          <w:sz w:val="24"/>
        </w:rPr>
      </w:pPr>
      <w:r>
        <w:rPr>
          <w:rFonts w:hint="eastAsia" w:ascii="宋体" w:hAnsi="宋体" w:eastAsia="宋体" w:cs="宋体"/>
          <w:sz w:val="24"/>
        </w:rPr>
        <w:t>荧光线性：线性回归系数r≥0.995</w:t>
      </w:r>
    </w:p>
    <w:p>
      <w:pPr>
        <w:numPr>
          <w:ilvl w:val="0"/>
          <w:numId w:val="5"/>
        </w:numPr>
        <w:rPr>
          <w:rFonts w:hint="eastAsia" w:ascii="宋体" w:hAnsi="宋体" w:eastAsia="宋体" w:cs="宋体"/>
          <w:sz w:val="24"/>
        </w:rPr>
      </w:pPr>
      <w:r>
        <w:rPr>
          <w:rFonts w:hint="eastAsia" w:ascii="宋体" w:hAnsi="宋体" w:eastAsia="宋体" w:cs="宋体"/>
          <w:sz w:val="24"/>
        </w:rPr>
        <w:t>仪器通讯接口：USB 2.0(可进行文件导入、导出)</w:t>
      </w:r>
    </w:p>
    <w:p>
      <w:pPr>
        <w:numPr>
          <w:ilvl w:val="0"/>
          <w:numId w:val="5"/>
        </w:numPr>
        <w:rPr>
          <w:rFonts w:hint="eastAsia" w:ascii="宋体" w:hAnsi="宋体" w:eastAsia="宋体" w:cs="宋体"/>
          <w:sz w:val="24"/>
        </w:rPr>
      </w:pPr>
      <w:r>
        <w:rPr>
          <w:rFonts w:hint="eastAsia" w:ascii="宋体" w:hAnsi="宋体" w:eastAsia="宋体" w:cs="宋体"/>
          <w:sz w:val="24"/>
        </w:rPr>
        <w:t>软件：仪器可直接进行结果及数据分析，并配套电脑版专用分析软件</w:t>
      </w:r>
    </w:p>
    <w:p>
      <w:pPr>
        <w:numPr>
          <w:ilvl w:val="0"/>
          <w:numId w:val="5"/>
        </w:numPr>
        <w:rPr>
          <w:rFonts w:hint="eastAsia" w:ascii="宋体" w:hAnsi="宋体" w:eastAsia="宋体" w:cs="宋体"/>
          <w:sz w:val="24"/>
        </w:rPr>
      </w:pPr>
      <w:r>
        <w:rPr>
          <w:rFonts w:hint="eastAsia" w:ascii="宋体" w:hAnsi="宋体" w:eastAsia="宋体" w:cs="宋体"/>
          <w:sz w:val="24"/>
        </w:rPr>
        <w:t>触控屏独立操作：LED7inch彩色电容屏触控，无需连接电脑即可操作分析</w:t>
      </w:r>
    </w:p>
    <w:p>
      <w:pPr>
        <w:pStyle w:val="3"/>
        <w:jc w:val="left"/>
        <w:rPr>
          <w:rFonts w:hint="eastAsia" w:ascii="宋体" w:hAnsi="宋体" w:eastAsia="宋体" w:cs="宋体"/>
        </w:rPr>
      </w:pPr>
    </w:p>
    <w:p>
      <w:pPr>
        <w:spacing w:line="360" w:lineRule="auto"/>
        <w:rPr>
          <w:rFonts w:hint="eastAsia" w:ascii="宋体" w:hAnsi="宋体" w:eastAsia="宋体" w:cs="宋体"/>
          <w:b/>
          <w:bCs/>
          <w:sz w:val="24"/>
        </w:rPr>
      </w:pPr>
      <w:r>
        <w:rPr>
          <w:rFonts w:hint="eastAsia" w:ascii="宋体" w:hAnsi="宋体" w:eastAsia="宋体" w:cs="宋体"/>
          <w:b/>
          <w:bCs/>
          <w:sz w:val="24"/>
        </w:rPr>
        <w:t>第二部分：总体商务、服务要求及履约主要条款：</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*1．交货期及地点</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1.1 交货时间：签订合同后</w:t>
      </w:r>
      <w:r>
        <w:rPr>
          <w:rFonts w:hint="eastAsia" w:hAnsi="宋体" w:cs="宋体"/>
          <w:sz w:val="24"/>
          <w:lang w:val="en-US" w:eastAsia="zh-CN"/>
        </w:rPr>
        <w:t>5个工作日</w:t>
      </w:r>
      <w:r>
        <w:rPr>
          <w:rFonts w:hint="eastAsia" w:ascii="宋体" w:hAnsi="宋体" w:eastAsia="宋体" w:cs="宋体"/>
          <w:sz w:val="24"/>
        </w:rPr>
        <w:t>内</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 xml:space="preserve">1.2 交货地点: </w:t>
      </w:r>
      <w:r>
        <w:rPr>
          <w:rFonts w:hint="eastAsia" w:ascii="宋体" w:hAnsi="宋体" w:eastAsia="宋体" w:cs="宋体"/>
          <w:sz w:val="24"/>
          <w:lang w:eastAsia="zh-CN"/>
        </w:rPr>
        <w:t>巴中市中医院</w:t>
      </w:r>
      <w:r>
        <w:rPr>
          <w:rFonts w:hint="eastAsia" w:ascii="宋体" w:hAnsi="宋体" w:eastAsia="宋体" w:cs="宋体"/>
          <w:sz w:val="24"/>
        </w:rPr>
        <w:t>指定地点</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*2．付款方法和条件：甲方按照合同对乙方提供产品验收合格后乙方提供正规发票，甲方以银行转帐方式向乙方支付总货款的90％，余款10%于产品验收合格之日起质保期满后无质量问题无息全额支付。</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*3 质保要求</w:t>
      </w:r>
    </w:p>
    <w:p>
      <w:pPr>
        <w:pStyle w:val="9"/>
        <w:spacing w:line="400" w:lineRule="exact"/>
        <w:ind w:firstLine="578" w:firstLineChars="241"/>
        <w:rPr>
          <w:rFonts w:hint="eastAsia" w:ascii="宋体" w:hAnsi="宋体" w:eastAsia="宋体" w:cs="宋体"/>
          <w:sz w:val="24"/>
          <w:lang w:val="en-US" w:eastAsia="zh-CN"/>
        </w:rPr>
      </w:pPr>
      <w:r>
        <w:rPr>
          <w:rFonts w:hint="eastAsia" w:ascii="宋体" w:hAnsi="宋体" w:eastAsia="宋体" w:cs="宋体"/>
          <w:sz w:val="24"/>
        </w:rPr>
        <w:t>3.1产品质保期为</w:t>
      </w:r>
      <w:r>
        <w:rPr>
          <w:rFonts w:hint="eastAsia" w:ascii="宋体" w:hAnsi="宋体" w:eastAsia="宋体" w:cs="宋体"/>
          <w:sz w:val="24"/>
          <w:lang w:val="en-US" w:eastAsia="zh-CN"/>
        </w:rPr>
        <w:t>3年</w:t>
      </w:r>
      <w:r>
        <w:rPr>
          <w:rFonts w:hint="eastAsia" w:ascii="宋体" w:hAnsi="宋体" w:eastAsia="宋体" w:cs="宋体"/>
          <w:sz w:val="24"/>
        </w:rPr>
        <w:t>；</w:t>
      </w:r>
      <w:r>
        <w:rPr>
          <w:rFonts w:hint="eastAsia" w:ascii="宋体" w:hAnsi="宋体" w:eastAsia="宋体" w:cs="宋体"/>
          <w:sz w:val="24"/>
          <w:lang w:eastAsia="zh-CN"/>
        </w:rPr>
        <w:t>质保期满后设备维保等售后服务由该设备配套</w:t>
      </w:r>
      <w:r>
        <w:rPr>
          <w:rFonts w:hint="eastAsia" w:ascii="宋体" w:hAnsi="宋体" w:eastAsia="宋体" w:cs="宋体"/>
          <w:sz w:val="24"/>
          <w:lang w:val="en-US" w:eastAsia="zh-CN"/>
        </w:rPr>
        <w:t>试剂</w:t>
      </w:r>
      <w:r>
        <w:rPr>
          <w:rFonts w:hint="eastAsia" w:ascii="宋体" w:hAnsi="宋体" w:eastAsia="宋体" w:cs="宋体"/>
          <w:sz w:val="24"/>
          <w:lang w:eastAsia="zh-CN"/>
        </w:rPr>
        <w:t>供应商免费承担。</w:t>
      </w:r>
    </w:p>
    <w:p>
      <w:pPr>
        <w:pStyle w:val="9"/>
        <w:spacing w:line="400" w:lineRule="exact"/>
        <w:ind w:firstLine="480"/>
        <w:rPr>
          <w:rFonts w:hint="eastAsia" w:ascii="宋体" w:hAnsi="宋体" w:eastAsia="宋体" w:cs="宋体"/>
          <w:sz w:val="24"/>
        </w:rPr>
      </w:pPr>
    </w:p>
    <w:p>
      <w:pPr>
        <w:pStyle w:val="9"/>
        <w:spacing w:line="400" w:lineRule="exact"/>
        <w:ind w:firstLine="480"/>
        <w:rPr>
          <w:rFonts w:hint="eastAsia" w:ascii="宋体" w:hAnsi="宋体" w:eastAsia="宋体" w:cs="宋体"/>
          <w:sz w:val="24"/>
        </w:rPr>
      </w:pPr>
      <w:r>
        <w:rPr>
          <w:rFonts w:hint="eastAsia" w:ascii="宋体" w:hAnsi="宋体" w:eastAsia="宋体" w:cs="宋体"/>
          <w:sz w:val="24"/>
        </w:rPr>
        <w:t>3.2质保期内乙方应免费负责产品维修维护工作，产品出现任何质量问题报修时，售后应2小时内作出响应，如4小时内无法电话解决问题，乙方维修工程师必须在接到故障报告后24小时内到达甲方现场修理和更换零件，费用由乙方承担（元旦、春节、劳动节、国庆节四个法定节日除外）,若3日内无法修复，乙方需</w:t>
      </w:r>
      <w:r>
        <w:rPr>
          <w:rFonts w:hint="eastAsia" w:ascii="宋体" w:hAnsi="宋体" w:eastAsia="宋体" w:cs="宋体"/>
          <w:sz w:val="24"/>
          <w:lang w:val="en-US" w:eastAsia="zh-CN"/>
        </w:rPr>
        <w:t>提供备用设备</w:t>
      </w:r>
      <w:r>
        <w:rPr>
          <w:rFonts w:hint="eastAsia" w:ascii="宋体" w:hAnsi="宋体" w:eastAsia="宋体" w:cs="宋体"/>
          <w:sz w:val="24"/>
        </w:rPr>
        <w:t>，否则甲方一切损失由乙方承担。</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3.4保修期内、外如涉及更换配件的，则所换配件必须是原厂全新的，保修期外为终身维护，产品故障维修只收取零配件费用，免收人工等其他费用。</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4. 交货时应提供以下技术资料（如涉及）</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4.1原产地证明书(由制造厂签发)；</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4.3提供产品使用说明书、维护手册；</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4.4备件手册、零件及易损件的图纸及相关资料；</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4.5其它相关技术资料。</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5.培训及验收：</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5.1货物达到现场后，乙方应就产品的操作、维修、保养等对甲方使用人员进行培训，直至甲方的使用人员能独立操作，同时能完成一般常见故障的维修工作。</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5.4乙方将产品运送至甲方后由甲方指派工作人员按照《医疗器械监督管理条例》、《医疗器械说明书和标签管理规定》、《比选文件》、《资质性响应文件》、《其他响应文件》等相关规定对产品进行验收，并签收合格证明。</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6.售后服务：</w:t>
      </w:r>
    </w:p>
    <w:p>
      <w:pPr>
        <w:pStyle w:val="9"/>
        <w:spacing w:line="400" w:lineRule="exact"/>
        <w:ind w:firstLine="480"/>
        <w:rPr>
          <w:rFonts w:hint="eastAsia" w:ascii="宋体" w:hAnsi="宋体" w:eastAsia="宋体" w:cs="宋体"/>
          <w:sz w:val="24"/>
        </w:rPr>
      </w:pPr>
      <w:r>
        <w:rPr>
          <w:rFonts w:hint="eastAsia" w:ascii="宋体" w:hAnsi="宋体" w:eastAsia="宋体" w:cs="宋体"/>
          <w:sz w:val="24"/>
        </w:rPr>
        <w:t>6.1提供有关资料及售后服务承诺。</w:t>
      </w:r>
    </w:p>
    <w:bookmarkEnd w:id="117"/>
    <w:p>
      <w:pPr>
        <w:spacing w:line="360" w:lineRule="auto"/>
        <w:rPr>
          <w:rStyle w:val="34"/>
          <w:rFonts w:hint="eastAsia" w:ascii="宋体" w:hAnsi="宋体" w:eastAsia="宋体" w:cs="宋体"/>
        </w:rPr>
      </w:pPr>
      <w:bookmarkStart w:id="118" w:name="_Toc572"/>
      <w:bookmarkStart w:id="119" w:name="_Toc10567"/>
      <w:bookmarkStart w:id="120" w:name="_Toc217446096"/>
    </w:p>
    <w:p>
      <w:pPr>
        <w:spacing w:line="360" w:lineRule="auto"/>
        <w:jc w:val="center"/>
        <w:rPr>
          <w:rStyle w:val="34"/>
          <w:rFonts w:hint="eastAsia" w:ascii="宋体" w:hAnsi="宋体" w:eastAsia="宋体" w:cs="宋体"/>
        </w:rPr>
      </w:pPr>
    </w:p>
    <w:p>
      <w:pPr>
        <w:spacing w:line="360" w:lineRule="auto"/>
        <w:jc w:val="center"/>
        <w:rPr>
          <w:rStyle w:val="34"/>
          <w:rFonts w:hint="eastAsia" w:ascii="宋体" w:hAnsi="宋体" w:eastAsia="宋体" w:cs="宋体"/>
        </w:rPr>
      </w:pPr>
      <w:bookmarkStart w:id="121" w:name="_Toc13555"/>
    </w:p>
    <w:p>
      <w:pPr>
        <w:spacing w:line="360" w:lineRule="auto"/>
        <w:jc w:val="center"/>
        <w:rPr>
          <w:rStyle w:val="34"/>
          <w:rFonts w:hint="eastAsia" w:ascii="宋体" w:hAnsi="宋体" w:eastAsia="宋体" w:cs="宋体"/>
        </w:rPr>
      </w:pPr>
      <w:r>
        <w:rPr>
          <w:rStyle w:val="34"/>
          <w:rFonts w:hint="eastAsia" w:ascii="宋体" w:hAnsi="宋体" w:eastAsia="宋体" w:cs="宋体"/>
        </w:rPr>
        <w:t>第七章  评审办法</w:t>
      </w:r>
      <w:bookmarkEnd w:id="118"/>
      <w:bookmarkEnd w:id="119"/>
      <w:bookmarkEnd w:id="120"/>
      <w:bookmarkStart w:id="122" w:name="_Hlt101846155"/>
      <w:bookmarkEnd w:id="122"/>
      <w:bookmarkStart w:id="123" w:name="_Toc183682415"/>
      <w:bookmarkStart w:id="124" w:name="_Toc208849007"/>
      <w:bookmarkStart w:id="125" w:name="_Toc217446097"/>
      <w:bookmarkStart w:id="126" w:name="_Toc183582280"/>
    </w:p>
    <w:bookmarkEnd w:id="121"/>
    <w:bookmarkEnd w:id="123"/>
    <w:bookmarkEnd w:id="124"/>
    <w:bookmarkEnd w:id="125"/>
    <w:bookmarkEnd w:id="126"/>
    <w:p>
      <w:pPr>
        <w:pStyle w:val="6"/>
        <w:spacing w:line="360" w:lineRule="auto"/>
        <w:ind w:firstLine="482"/>
        <w:rPr>
          <w:rFonts w:hint="eastAsia" w:ascii="宋体" w:hAnsi="宋体" w:eastAsia="宋体" w:cs="宋体"/>
        </w:rPr>
      </w:pPr>
      <w:bookmarkStart w:id="127" w:name="_Toc217446098"/>
      <w:r>
        <w:rPr>
          <w:rFonts w:hint="eastAsia" w:ascii="宋体" w:hAnsi="宋体" w:eastAsia="宋体" w:cs="宋体"/>
        </w:rPr>
        <w:t>1、评审方法</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本项目评审方法为：综合评分法。</w:t>
      </w:r>
    </w:p>
    <w:bookmarkEnd w:id="127"/>
    <w:p>
      <w:pPr>
        <w:spacing w:line="360" w:lineRule="auto"/>
        <w:ind w:firstLine="480" w:firstLineChars="200"/>
        <w:rPr>
          <w:rFonts w:hint="eastAsia" w:ascii="宋体" w:hAnsi="宋体" w:eastAsia="宋体" w:cs="宋体"/>
          <w:sz w:val="24"/>
        </w:rPr>
      </w:pPr>
      <w:bookmarkStart w:id="128" w:name="_Toc217446103"/>
      <w:r>
        <w:rPr>
          <w:rFonts w:hint="eastAsia" w:ascii="宋体" w:hAnsi="宋体" w:eastAsia="宋体" w:cs="宋体"/>
          <w:sz w:val="24"/>
        </w:rPr>
        <w:t>2. 评审细则及标准</w:t>
      </w:r>
      <w:bookmarkEnd w:id="12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比选小组成员应当根据自身专业情况对每个有效比选供应商的比选文件进行独立评分，加权汇总每项评分因素的得分，得出每个有效比选供应商的总分。采购人代表原则上对技术类评分因素独立评分。其他不能明确区分的评分因素由比选小组成员共同评分。</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2.2</w:t>
      </w:r>
      <w:bookmarkStart w:id="129" w:name="_Toc217446060"/>
      <w:r>
        <w:rPr>
          <w:rFonts w:hint="eastAsia" w:ascii="宋体" w:hAnsi="宋体" w:eastAsia="宋体" w:cs="宋体"/>
          <w:sz w:val="24"/>
        </w:rPr>
        <w:t>综合评分明细表：</w:t>
      </w:r>
    </w:p>
    <w:tbl>
      <w:tblPr>
        <w:tblStyle w:val="19"/>
        <w:tblW w:w="96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119"/>
        <w:gridCol w:w="866"/>
        <w:gridCol w:w="3796"/>
        <w:gridCol w:w="2676"/>
        <w:gridCol w:w="5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3"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11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2"/>
                <w:sz w:val="24"/>
                <w:szCs w:val="24"/>
              </w:rPr>
            </w:pPr>
            <w:r>
              <w:rPr>
                <w:rFonts w:hint="eastAsia" w:ascii="宋体" w:hAnsi="宋体" w:eastAsia="宋体" w:cs="宋体"/>
                <w:kern w:val="2"/>
                <w:sz w:val="24"/>
                <w:szCs w:val="24"/>
              </w:rPr>
              <w:t>评分因素</w:t>
            </w:r>
          </w:p>
        </w:tc>
        <w:tc>
          <w:tcPr>
            <w:tcW w:w="866"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2"/>
                <w:sz w:val="24"/>
                <w:szCs w:val="24"/>
              </w:rPr>
            </w:pPr>
            <w:r>
              <w:rPr>
                <w:rFonts w:hint="eastAsia" w:ascii="宋体" w:hAnsi="宋体" w:eastAsia="宋体" w:cs="宋体"/>
                <w:kern w:val="2"/>
                <w:sz w:val="24"/>
                <w:szCs w:val="24"/>
              </w:rPr>
              <w:t>权重（%）</w:t>
            </w:r>
          </w:p>
        </w:tc>
        <w:tc>
          <w:tcPr>
            <w:tcW w:w="3796"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2"/>
                <w:sz w:val="24"/>
                <w:szCs w:val="24"/>
              </w:rPr>
            </w:pPr>
            <w:r>
              <w:rPr>
                <w:rFonts w:hint="eastAsia" w:ascii="宋体" w:hAnsi="宋体" w:eastAsia="宋体" w:cs="宋体"/>
                <w:kern w:val="2"/>
                <w:sz w:val="24"/>
                <w:szCs w:val="24"/>
              </w:rPr>
              <w:t>评分标准</w:t>
            </w:r>
          </w:p>
        </w:tc>
        <w:tc>
          <w:tcPr>
            <w:tcW w:w="2676"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2"/>
                <w:sz w:val="24"/>
                <w:szCs w:val="24"/>
              </w:rPr>
            </w:pPr>
            <w:r>
              <w:rPr>
                <w:rFonts w:hint="eastAsia" w:ascii="宋体" w:hAnsi="宋体" w:eastAsia="宋体" w:cs="宋体"/>
                <w:kern w:val="2"/>
                <w:sz w:val="24"/>
                <w:szCs w:val="24"/>
              </w:rPr>
              <w:t>说明</w:t>
            </w:r>
          </w:p>
        </w:tc>
        <w:tc>
          <w:tcPr>
            <w:tcW w:w="567"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2"/>
                <w:sz w:val="24"/>
                <w:szCs w:val="24"/>
              </w:rPr>
            </w:pPr>
            <w:r>
              <w:rPr>
                <w:rFonts w:hint="eastAsia" w:ascii="宋体" w:hAnsi="宋体" w:eastAsia="宋体" w:cs="宋体"/>
                <w:kern w:val="2"/>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6"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1</w:t>
            </w:r>
          </w:p>
        </w:tc>
        <w:tc>
          <w:tcPr>
            <w:tcW w:w="111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报价</w:t>
            </w:r>
          </w:p>
        </w:tc>
        <w:tc>
          <w:tcPr>
            <w:tcW w:w="86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30</w:t>
            </w:r>
          </w:p>
        </w:tc>
        <w:tc>
          <w:tcPr>
            <w:tcW w:w="3796" w:type="dxa"/>
            <w:tcBorders>
              <w:top w:val="single" w:color="auto" w:sz="8" w:space="0"/>
              <w:left w:val="single" w:color="auto" w:sz="8" w:space="0"/>
              <w:bottom w:val="single" w:color="auto" w:sz="8" w:space="0"/>
              <w:right w:val="single" w:color="auto" w:sz="8" w:space="0"/>
            </w:tcBorders>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70" w:lineRule="atLeast"/>
              <w:ind w:left="0" w:leftChars="0" w:right="0" w:rightChars="0"/>
              <w:rPr>
                <w:rFonts w:hint="eastAsia" w:ascii="宋体" w:hAnsi="宋体" w:eastAsia="宋体" w:cs="宋体"/>
              </w:rPr>
            </w:pPr>
            <w:r>
              <w:rPr>
                <w:rFonts w:hint="eastAsia" w:ascii="宋体" w:hAnsi="宋体" w:eastAsia="宋体" w:cs="宋体"/>
                <w:b w:val="0"/>
                <w:bCs w:val="0"/>
                <w:color w:val="000000"/>
                <w:sz w:val="24"/>
                <w:szCs w:val="24"/>
              </w:rPr>
              <w:t>比选基准价及报价得分的确定：经比选小组评审确定的满足比选文件要求且最后报价最低的供应商的价格为比选基准价。其价格分为</w:t>
            </w:r>
            <w:r>
              <w:rPr>
                <w:rFonts w:hint="eastAsia" w:ascii="宋体" w:hAnsi="宋体" w:eastAsia="宋体" w:cs="宋体"/>
                <w:b w:val="0"/>
                <w:bCs w:val="0"/>
                <w:color w:val="000000"/>
                <w:sz w:val="24"/>
                <w:szCs w:val="24"/>
                <w:lang w:val="en-US"/>
              </w:rPr>
              <w:t>30</w:t>
            </w:r>
            <w:r>
              <w:rPr>
                <w:rFonts w:hint="eastAsia" w:ascii="宋体" w:hAnsi="宋体" w:eastAsia="宋体" w:cs="宋体"/>
                <w:b w:val="0"/>
                <w:bCs w:val="0"/>
                <w:color w:val="000000"/>
                <w:sz w:val="24"/>
                <w:szCs w:val="24"/>
              </w:rPr>
              <w:t>分，其他供应商的价格分统一按照下列公式计算</w:t>
            </w:r>
            <w:r>
              <w:rPr>
                <w:rFonts w:hint="eastAsia" w:ascii="宋体" w:hAnsi="宋体" w:eastAsia="宋体" w:cs="宋体"/>
                <w:b w:val="0"/>
                <w:bCs w:val="0"/>
                <w:color w:val="000000"/>
                <w:sz w:val="24"/>
                <w:szCs w:val="24"/>
                <w:lang w:val="en-US"/>
              </w:rPr>
              <w:t>:</w:t>
            </w:r>
            <w:r>
              <w:rPr>
                <w:rFonts w:hint="eastAsia" w:ascii="宋体" w:hAnsi="宋体" w:eastAsia="宋体" w:cs="宋体"/>
                <w:b w:val="0"/>
                <w:bCs w:val="0"/>
                <w:color w:val="000000"/>
                <w:sz w:val="24"/>
                <w:szCs w:val="24"/>
              </w:rPr>
              <w:t>比选报价得分（比选基准价</w:t>
            </w:r>
            <w:r>
              <w:rPr>
                <w:rFonts w:hint="eastAsia" w:ascii="宋体" w:hAnsi="宋体" w:eastAsia="宋体" w:cs="宋体"/>
                <w:b w:val="0"/>
                <w:bCs w:val="0"/>
                <w:color w:val="000000"/>
                <w:sz w:val="24"/>
                <w:szCs w:val="24"/>
                <w:lang w:val="en-US"/>
              </w:rPr>
              <w:t>/</w:t>
            </w:r>
            <w:r>
              <w:rPr>
                <w:rFonts w:hint="eastAsia" w:ascii="宋体" w:hAnsi="宋体" w:eastAsia="宋体" w:cs="宋体"/>
                <w:b w:val="0"/>
                <w:bCs w:val="0"/>
                <w:color w:val="000000"/>
                <w:sz w:val="24"/>
                <w:szCs w:val="24"/>
              </w:rPr>
              <w:t>最后比选报价）</w:t>
            </w:r>
            <w:r>
              <w:rPr>
                <w:rFonts w:hint="eastAsia" w:ascii="宋体" w:hAnsi="宋体" w:eastAsia="宋体" w:cs="宋体"/>
                <w:b w:val="0"/>
                <w:bCs w:val="0"/>
                <w:color w:val="000000"/>
                <w:sz w:val="24"/>
                <w:szCs w:val="24"/>
                <w:lang w:val="en-US"/>
              </w:rPr>
              <w:t>*30</w:t>
            </w:r>
          </w:p>
        </w:tc>
        <w:tc>
          <w:tcPr>
            <w:tcW w:w="267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以比选文件为准</w:t>
            </w:r>
          </w:p>
        </w:tc>
        <w:tc>
          <w:tcPr>
            <w:tcW w:w="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价格类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2</w:t>
            </w:r>
          </w:p>
        </w:tc>
        <w:tc>
          <w:tcPr>
            <w:tcW w:w="111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技术、配置要求</w:t>
            </w:r>
          </w:p>
        </w:tc>
        <w:tc>
          <w:tcPr>
            <w:tcW w:w="86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宋体" w:hAnsi="宋体" w:eastAsia="宋体" w:cs="宋体"/>
                <w:kern w:val="2"/>
                <w:sz w:val="24"/>
                <w:szCs w:val="24"/>
                <w:lang w:val="en-US" w:eastAsia="zh-CN"/>
              </w:rPr>
            </w:pPr>
            <w:r>
              <w:rPr>
                <w:rFonts w:hint="eastAsia" w:ascii="宋体" w:hAnsi="宋体" w:eastAsia="宋体" w:cs="宋体"/>
                <w:b w:val="0"/>
                <w:bCs w:val="0"/>
                <w:color w:val="000000"/>
                <w:kern w:val="0"/>
                <w:sz w:val="24"/>
                <w:szCs w:val="24"/>
                <w:lang w:val="en-US" w:eastAsia="zh-CN" w:bidi="ar"/>
              </w:rPr>
              <w:t>40</w:t>
            </w:r>
          </w:p>
        </w:tc>
        <w:tc>
          <w:tcPr>
            <w:tcW w:w="379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根据技术、配置要求产品质量和最终比选承诺条件等进行综合评价打分。第一名40分，第二名30分，第三名20分，第四名10分，第五名5分，第六名及以后不得分。</w:t>
            </w:r>
          </w:p>
        </w:tc>
        <w:tc>
          <w:tcPr>
            <w:tcW w:w="267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以比选文件为准</w:t>
            </w:r>
          </w:p>
        </w:tc>
        <w:tc>
          <w:tcPr>
            <w:tcW w:w="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42" w:hRule="atLeast"/>
          <w:jc w:val="center"/>
        </w:trPr>
        <w:tc>
          <w:tcPr>
            <w:tcW w:w="58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lang w:val="en-US" w:eastAsia="zh-CN"/>
              </w:rPr>
            </w:pPr>
            <w:r>
              <w:rPr>
                <w:rFonts w:hint="eastAsia" w:ascii="宋体" w:hAnsi="宋体" w:eastAsia="宋体" w:cs="宋体"/>
                <w:b w:val="0"/>
                <w:bCs w:val="0"/>
                <w:color w:val="000000"/>
                <w:kern w:val="0"/>
                <w:sz w:val="24"/>
                <w:szCs w:val="24"/>
                <w:lang w:val="en-US" w:eastAsia="zh-CN" w:bidi="ar"/>
              </w:rPr>
              <w:t>3</w:t>
            </w:r>
          </w:p>
        </w:tc>
        <w:tc>
          <w:tcPr>
            <w:tcW w:w="111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总体商务、服务、售后要求及合同重要条款</w:t>
            </w:r>
          </w:p>
        </w:tc>
        <w:tc>
          <w:tcPr>
            <w:tcW w:w="86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25</w:t>
            </w:r>
          </w:p>
        </w:tc>
        <w:tc>
          <w:tcPr>
            <w:tcW w:w="379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根据总体商务、服务、售后要求及合同重要条款与比选文件要求和最终比选承诺条件等进行综合评价打分。第一名25分，第二名20分，第三名15分，第四名10分，第五名5分，第六名及以后不得分。</w:t>
            </w:r>
          </w:p>
        </w:tc>
        <w:tc>
          <w:tcPr>
            <w:tcW w:w="267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以比选文件为准</w:t>
            </w:r>
          </w:p>
        </w:tc>
        <w:tc>
          <w:tcPr>
            <w:tcW w:w="56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技术类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1" w:hRule="atLeast"/>
          <w:jc w:val="center"/>
        </w:trPr>
        <w:tc>
          <w:tcPr>
            <w:tcW w:w="582"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lang w:eastAsia="zh-CN"/>
              </w:rPr>
            </w:pPr>
            <w:r>
              <w:rPr>
                <w:rFonts w:hint="eastAsia" w:ascii="宋体" w:hAnsi="宋体" w:eastAsia="宋体" w:cs="宋体"/>
                <w:b w:val="0"/>
                <w:bCs w:val="0"/>
                <w:color w:val="000000"/>
                <w:kern w:val="0"/>
                <w:sz w:val="24"/>
                <w:szCs w:val="24"/>
                <w:lang w:val="en-US" w:eastAsia="zh-CN" w:bidi="ar"/>
              </w:rPr>
              <w:t>4</w:t>
            </w:r>
          </w:p>
        </w:tc>
        <w:tc>
          <w:tcPr>
            <w:tcW w:w="1119"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供应商履约能力及综合实力</w:t>
            </w:r>
          </w:p>
        </w:tc>
        <w:tc>
          <w:tcPr>
            <w:tcW w:w="866" w:type="dxa"/>
            <w:tcBorders>
              <w:top w:val="single" w:color="auto" w:sz="4" w:space="0"/>
              <w:left w:val="single" w:color="auto" w:sz="8" w:space="0"/>
              <w:bottom w:val="single" w:color="auto" w:sz="4"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5</w:t>
            </w:r>
          </w:p>
        </w:tc>
        <w:tc>
          <w:tcPr>
            <w:tcW w:w="3796" w:type="dxa"/>
            <w:tcBorders>
              <w:top w:val="single" w:color="auto" w:sz="4" w:space="0"/>
              <w:left w:val="single" w:color="auto" w:sz="8" w:space="0"/>
              <w:bottom w:val="single" w:color="auto" w:sz="4"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1.同类比选产品的业绩：有一份得2分，最多得4分。无业绩不得分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（需提供合同复印件或中标通知书复印件加盖供应商鲜章）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2.供应商或生产厂家通过ISO9001质量管理体系认证证书得1分；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（提供证书复印件加盖供应商鲜章）</w:t>
            </w:r>
          </w:p>
        </w:tc>
        <w:tc>
          <w:tcPr>
            <w:tcW w:w="2676" w:type="dxa"/>
            <w:tcBorders>
              <w:top w:val="single" w:color="auto" w:sz="4" w:space="0"/>
              <w:left w:val="single" w:color="auto" w:sz="8" w:space="0"/>
              <w:bottom w:val="single" w:color="auto" w:sz="4"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以比选文件为准</w:t>
            </w:r>
          </w:p>
        </w:tc>
        <w:tc>
          <w:tcPr>
            <w:tcW w:w="567" w:type="dxa"/>
            <w:tcBorders>
              <w:top w:val="single" w:color="auto" w:sz="8" w:space="0"/>
              <w:left w:val="single" w:color="auto" w:sz="8" w:space="0"/>
              <w:bottom w:val="single" w:color="auto" w:sz="4"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left"/>
              <w:rPr>
                <w:rFonts w:hint="eastAsia" w:ascii="宋体" w:hAnsi="宋体" w:eastAsia="宋体" w:cs="宋体"/>
                <w:kern w:val="2"/>
                <w:sz w:val="24"/>
                <w:szCs w:val="24"/>
              </w:rPr>
            </w:pPr>
            <w:r>
              <w:rPr>
                <w:rFonts w:hint="eastAsia" w:ascii="宋体" w:hAnsi="宋体" w:eastAsia="宋体" w:cs="宋体"/>
                <w:b w:val="0"/>
                <w:bCs w:val="0"/>
                <w:color w:val="000000"/>
                <w:kern w:val="0"/>
                <w:sz w:val="24"/>
                <w:szCs w:val="24"/>
                <w:lang w:val="en-US" w:eastAsia="zh-CN" w:bidi="ar"/>
              </w:rPr>
              <w:t>类</w:t>
            </w: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注：1.评审时，比选小组各成员应当独立对每个供应商的比选文件进行评价，并汇总每个供应商的得分。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2.评分的取值按四舍五入法，保留小数点后两位。</w:t>
      </w:r>
    </w:p>
    <w:p>
      <w:pPr>
        <w:pStyle w:val="6"/>
        <w:spacing w:line="360" w:lineRule="auto"/>
        <w:ind w:firstLine="482"/>
        <w:rPr>
          <w:rFonts w:hint="eastAsia" w:ascii="宋体" w:hAnsi="宋体" w:eastAsia="宋体" w:cs="宋体"/>
        </w:rPr>
      </w:pPr>
      <w:r>
        <w:rPr>
          <w:rFonts w:hint="eastAsia" w:ascii="宋体" w:hAnsi="宋体" w:eastAsia="宋体" w:cs="宋体"/>
        </w:rPr>
        <w:t>3、定标</w:t>
      </w:r>
      <w:bookmarkEnd w:id="129"/>
      <w:bookmarkStart w:id="130" w:name="_Toc21744606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定标原则</w:t>
      </w:r>
      <w:bookmarkEnd w:id="130"/>
      <w:r>
        <w:rPr>
          <w:rFonts w:hint="eastAsia" w:ascii="宋体" w:hAnsi="宋体" w:eastAsia="宋体" w:cs="宋体"/>
          <w:sz w:val="24"/>
        </w:rPr>
        <w:t>：本项目根据比选小组推荐的中标候选供应商名单，按顺序确定中标供应商。</w:t>
      </w:r>
    </w:p>
    <w:p>
      <w:pPr>
        <w:spacing w:line="360" w:lineRule="auto"/>
        <w:rPr>
          <w:rStyle w:val="34"/>
          <w:rFonts w:hint="eastAsia" w:ascii="宋体" w:hAnsi="宋体" w:eastAsia="宋体" w:cs="宋体"/>
        </w:rPr>
      </w:pPr>
      <w:bookmarkStart w:id="131" w:name="_Toc17147"/>
      <w:bookmarkStart w:id="132" w:name="_Toc19775"/>
    </w:p>
    <w:bookmarkEnd w:id="131"/>
    <w:bookmarkEnd w:id="132"/>
    <w:p>
      <w:pPr>
        <w:spacing w:line="360" w:lineRule="auto"/>
        <w:ind w:firstLine="1807" w:firstLineChars="500"/>
        <w:rPr>
          <w:rStyle w:val="34"/>
          <w:rFonts w:hint="eastAsia" w:ascii="宋体" w:hAnsi="宋体" w:eastAsia="宋体" w:cs="宋体"/>
        </w:rPr>
      </w:pPr>
      <w:bookmarkStart w:id="133" w:name="_Toc14438"/>
    </w:p>
    <w:p>
      <w:pPr>
        <w:spacing w:line="360" w:lineRule="auto"/>
        <w:ind w:firstLine="1807" w:firstLineChars="500"/>
        <w:rPr>
          <w:rStyle w:val="34"/>
          <w:rFonts w:hint="eastAsia" w:ascii="宋体" w:hAnsi="宋体" w:eastAsia="宋体" w:cs="宋体"/>
        </w:rPr>
      </w:pPr>
    </w:p>
    <w:p>
      <w:pPr>
        <w:spacing w:line="360" w:lineRule="auto"/>
        <w:ind w:firstLine="1807" w:firstLineChars="500"/>
        <w:rPr>
          <w:rStyle w:val="34"/>
          <w:rFonts w:hint="eastAsia" w:ascii="宋体" w:hAnsi="宋体" w:eastAsia="宋体" w:cs="宋体"/>
        </w:rPr>
      </w:pPr>
    </w:p>
    <w:p>
      <w:pPr>
        <w:spacing w:line="360" w:lineRule="auto"/>
        <w:ind w:firstLine="1807" w:firstLineChars="500"/>
        <w:rPr>
          <w:rStyle w:val="34"/>
          <w:rFonts w:hint="eastAsia" w:ascii="宋体" w:hAnsi="宋体" w:eastAsia="宋体" w:cs="宋体"/>
        </w:rPr>
      </w:pPr>
    </w:p>
    <w:p>
      <w:pPr>
        <w:spacing w:line="360" w:lineRule="auto"/>
        <w:ind w:firstLine="1807" w:firstLineChars="500"/>
        <w:rPr>
          <w:rStyle w:val="34"/>
          <w:rFonts w:hint="eastAsia" w:ascii="宋体" w:hAnsi="宋体" w:eastAsia="宋体" w:cs="宋体"/>
        </w:rPr>
      </w:pPr>
    </w:p>
    <w:p>
      <w:pPr>
        <w:pStyle w:val="2"/>
        <w:rPr>
          <w:rStyle w:val="34"/>
          <w:rFonts w:hint="eastAsia" w:ascii="宋体" w:hAnsi="宋体" w:eastAsia="宋体" w:cs="宋体"/>
        </w:rPr>
      </w:pPr>
    </w:p>
    <w:p>
      <w:pPr>
        <w:pStyle w:val="3"/>
        <w:rPr>
          <w:rStyle w:val="34"/>
          <w:rFonts w:hint="eastAsia" w:ascii="宋体" w:hAnsi="宋体" w:eastAsia="宋体" w:cs="宋体"/>
        </w:rPr>
      </w:pPr>
    </w:p>
    <w:p>
      <w:pPr>
        <w:rPr>
          <w:rStyle w:val="34"/>
          <w:rFonts w:hint="eastAsia" w:ascii="宋体" w:hAnsi="宋体" w:eastAsia="宋体" w:cs="宋体"/>
        </w:rPr>
      </w:pPr>
    </w:p>
    <w:p>
      <w:pPr>
        <w:pStyle w:val="2"/>
        <w:rPr>
          <w:rStyle w:val="34"/>
          <w:rFonts w:hint="eastAsia" w:ascii="宋体" w:hAnsi="宋体" w:eastAsia="宋体" w:cs="宋体"/>
        </w:rPr>
      </w:pPr>
    </w:p>
    <w:p>
      <w:pPr>
        <w:pStyle w:val="3"/>
        <w:rPr>
          <w:rFonts w:hint="eastAsia"/>
        </w:rPr>
      </w:pPr>
    </w:p>
    <w:p>
      <w:pPr>
        <w:spacing w:line="360" w:lineRule="auto"/>
        <w:ind w:firstLine="1807" w:firstLineChars="500"/>
        <w:rPr>
          <w:rStyle w:val="34"/>
          <w:rFonts w:hint="eastAsia" w:ascii="宋体" w:hAnsi="宋体" w:eastAsia="宋体" w:cs="宋体"/>
        </w:rPr>
      </w:pPr>
    </w:p>
    <w:p>
      <w:pPr>
        <w:spacing w:line="360" w:lineRule="auto"/>
        <w:ind w:firstLine="1807" w:firstLineChars="500"/>
        <w:rPr>
          <w:rStyle w:val="34"/>
          <w:rFonts w:hint="eastAsia" w:ascii="宋体" w:hAnsi="宋体" w:eastAsia="宋体" w:cs="宋体"/>
        </w:rPr>
      </w:pPr>
    </w:p>
    <w:p>
      <w:pPr>
        <w:spacing w:line="360" w:lineRule="auto"/>
        <w:ind w:firstLine="1807" w:firstLineChars="500"/>
        <w:rPr>
          <w:rStyle w:val="34"/>
          <w:rFonts w:hint="eastAsia" w:ascii="宋体" w:hAnsi="宋体" w:eastAsia="宋体" w:cs="宋体"/>
        </w:rPr>
      </w:pPr>
      <w:r>
        <w:rPr>
          <w:rStyle w:val="34"/>
          <w:rFonts w:hint="eastAsia" w:ascii="宋体" w:hAnsi="宋体" w:eastAsia="宋体" w:cs="宋体"/>
        </w:rPr>
        <w:t>第八章 采购合同（草案）</w:t>
      </w:r>
    </w:p>
    <w:bookmarkEnd w:id="133"/>
    <w:p>
      <w:pPr>
        <w:jc w:val="center"/>
        <w:rPr>
          <w:rFonts w:hint="eastAsia" w:ascii="宋体" w:hAnsi="宋体" w:eastAsia="宋体" w:cs="宋体"/>
          <w:b/>
          <w:sz w:val="36"/>
          <w:szCs w:val="36"/>
        </w:rPr>
      </w:pPr>
      <w:r>
        <w:rPr>
          <w:rFonts w:hint="eastAsia" w:ascii="宋体" w:hAnsi="宋体" w:eastAsia="宋体" w:cs="宋体"/>
          <w:b/>
          <w:sz w:val="36"/>
          <w:szCs w:val="36"/>
        </w:rPr>
        <w:t>医疗器械购销合同</w:t>
      </w:r>
    </w:p>
    <w:p>
      <w:pPr>
        <w:widowControl/>
        <w:ind w:left="6120" w:hanging="6120" w:hangingChars="1800"/>
        <w:jc w:val="left"/>
        <w:rPr>
          <w:rFonts w:hint="eastAsia" w:ascii="宋体" w:hAnsi="宋体" w:eastAsia="宋体" w:cs="宋体"/>
          <w:sz w:val="22"/>
        </w:rPr>
      </w:pPr>
      <w:r>
        <w:rPr>
          <w:rFonts w:hint="eastAsia" w:ascii="宋体" w:hAnsi="宋体" w:eastAsia="宋体" w:cs="宋体"/>
        </w:rPr>
        <w:t xml:space="preserve">                             </w:t>
      </w:r>
      <w:r>
        <w:rPr>
          <w:rFonts w:hint="eastAsia" w:ascii="宋体" w:hAnsi="宋体" w:eastAsia="宋体" w:cs="宋体"/>
          <w:sz w:val="22"/>
        </w:rPr>
        <w:t>合同编号:</w:t>
      </w:r>
    </w:p>
    <w:p>
      <w:pPr>
        <w:jc w:val="center"/>
        <w:rPr>
          <w:rFonts w:hint="eastAsia" w:ascii="宋体" w:hAnsi="宋体" w:eastAsia="宋体" w:cs="宋体"/>
          <w:color w:val="000000"/>
          <w:sz w:val="24"/>
        </w:rPr>
      </w:pPr>
      <w:r>
        <w:rPr>
          <w:rFonts w:hint="eastAsia" w:ascii="宋体" w:hAnsi="宋体" w:eastAsia="宋体" w:cs="宋体"/>
          <w:sz w:val="24"/>
        </w:rPr>
        <w:t xml:space="preserve">                               </w:t>
      </w:r>
    </w:p>
    <w:p>
      <w:pPr>
        <w:spacing w:line="460" w:lineRule="exact"/>
        <w:ind w:left="674" w:leftChars="57" w:hanging="480" w:hanging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巴中市中医院</w:t>
      </w:r>
      <w:r>
        <w:rPr>
          <w:rFonts w:hint="eastAsia" w:ascii="宋体" w:hAnsi="宋体" w:eastAsia="宋体" w:cs="宋体"/>
          <w:sz w:val="24"/>
          <w:szCs w:val="24"/>
        </w:rPr>
        <w:t xml:space="preserve">                乙方：</w:t>
      </w:r>
    </w:p>
    <w:p>
      <w:pPr>
        <w:spacing w:line="460" w:lineRule="exact"/>
        <w:ind w:left="4994" w:leftChars="57" w:hanging="4800" w:hangingChars="2000"/>
        <w:rPr>
          <w:rFonts w:hint="eastAsia" w:ascii="宋体" w:hAnsi="宋体" w:eastAsia="宋体" w:cs="宋体"/>
          <w:sz w:val="24"/>
          <w:szCs w:val="24"/>
        </w:rPr>
      </w:pPr>
      <w:r>
        <w:rPr>
          <w:rFonts w:hint="eastAsia" w:ascii="宋体" w:hAnsi="宋体" w:eastAsia="宋体" w:cs="宋体"/>
          <w:sz w:val="24"/>
          <w:szCs w:val="24"/>
        </w:rPr>
        <w:t>地址：巴中市巴州区郑家街2号      地址：</w:t>
      </w:r>
    </w:p>
    <w:p>
      <w:pPr>
        <w:spacing w:line="460" w:lineRule="exact"/>
        <w:ind w:left="4154" w:leftChars="57" w:hanging="3960" w:hangingChars="1650"/>
        <w:rPr>
          <w:rFonts w:hint="eastAsia" w:ascii="宋体" w:hAnsi="宋体" w:eastAsia="宋体" w:cs="宋体"/>
          <w:sz w:val="24"/>
          <w:szCs w:val="24"/>
        </w:rPr>
      </w:pPr>
      <w:r>
        <w:rPr>
          <w:rFonts w:hint="eastAsia" w:ascii="宋体" w:hAnsi="宋体" w:eastAsia="宋体" w:cs="宋体"/>
          <w:sz w:val="24"/>
          <w:szCs w:val="24"/>
        </w:rPr>
        <w:t>联系人：叶红 0827-5264096         联系人：</w:t>
      </w:r>
    </w:p>
    <w:p>
      <w:pPr>
        <w:spacing w:line="460" w:lineRule="exact"/>
        <w:ind w:left="4154" w:leftChars="57" w:hanging="3960" w:hangingChars="1650"/>
        <w:rPr>
          <w:rFonts w:hint="eastAsia" w:ascii="宋体" w:hAnsi="宋体" w:eastAsia="宋体" w:cs="宋体"/>
          <w:sz w:val="24"/>
          <w:szCs w:val="24"/>
        </w:rPr>
      </w:pPr>
      <w:r>
        <w:rPr>
          <w:rFonts w:hint="eastAsia" w:ascii="宋体" w:hAnsi="宋体" w:eastAsia="宋体" w:cs="宋体"/>
          <w:sz w:val="24"/>
          <w:szCs w:val="24"/>
        </w:rPr>
        <w:t>邮编：                            邮编：</w:t>
      </w:r>
    </w:p>
    <w:p>
      <w:pPr>
        <w:ind w:firstLine="480" w:firstLineChars="200"/>
        <w:jc w:val="left"/>
        <w:rPr>
          <w:rFonts w:hint="eastAsia" w:ascii="宋体" w:hAnsi="宋体" w:eastAsia="宋体" w:cs="宋体"/>
          <w:sz w:val="24"/>
        </w:rPr>
      </w:pPr>
      <w:r>
        <w:rPr>
          <w:rFonts w:hint="eastAsia" w:ascii="宋体" w:hAnsi="宋体" w:eastAsia="宋体" w:cs="宋体"/>
          <w:sz w:val="24"/>
        </w:rPr>
        <w:t xml:space="preserve">经甲方公开招标，乙方作为“  </w:t>
      </w:r>
      <w:r>
        <w:rPr>
          <w:rFonts w:hint="eastAsia" w:ascii="宋体" w:hAnsi="宋体" w:eastAsia="宋体" w:cs="宋体"/>
          <w:bCs/>
          <w:sz w:val="24"/>
        </w:rPr>
        <w:t>”</w:t>
      </w:r>
      <w:r>
        <w:rPr>
          <w:rFonts w:hint="eastAsia" w:ascii="宋体" w:hAnsi="宋体" w:eastAsia="宋体" w:cs="宋体"/>
          <w:sz w:val="24"/>
        </w:rPr>
        <w:t>中标单位，根据《中华人民共和国</w:t>
      </w:r>
      <w:r>
        <w:rPr>
          <w:rFonts w:hint="eastAsia" w:hAnsi="宋体" w:cs="宋体"/>
          <w:sz w:val="24"/>
          <w:lang w:val="en-US" w:eastAsia="zh-CN"/>
        </w:rPr>
        <w:t>民法典</w:t>
      </w:r>
      <w:r>
        <w:rPr>
          <w:rFonts w:hint="eastAsia" w:ascii="宋体" w:hAnsi="宋体" w:eastAsia="宋体" w:cs="宋体"/>
          <w:sz w:val="24"/>
        </w:rPr>
        <w:t>》、《医疗器械监督管理条例》等相关法律、法规，甲、乙双方友好协商达成以下协议，供双方共同遵守。</w:t>
      </w:r>
    </w:p>
    <w:p>
      <w:pPr>
        <w:numPr>
          <w:ilvl w:val="0"/>
          <w:numId w:val="6"/>
        </w:numPr>
        <w:spacing w:line="460" w:lineRule="exact"/>
        <w:rPr>
          <w:rFonts w:hint="eastAsia" w:ascii="宋体" w:hAnsi="宋体" w:eastAsia="宋体" w:cs="宋体"/>
          <w:sz w:val="24"/>
        </w:rPr>
      </w:pPr>
      <w:r>
        <w:rPr>
          <w:rFonts w:hint="eastAsia" w:ascii="宋体" w:hAnsi="宋体" w:eastAsia="宋体" w:cs="宋体"/>
          <w:sz w:val="24"/>
        </w:rPr>
        <w:t xml:space="preserve">定购内容          </w:t>
      </w:r>
    </w:p>
    <w:tbl>
      <w:tblPr>
        <w:tblStyle w:val="19"/>
        <w:tblW w:w="1036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1695"/>
        <w:gridCol w:w="1635"/>
        <w:gridCol w:w="1005"/>
        <w:gridCol w:w="1035"/>
        <w:gridCol w:w="127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64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产品名称</w:t>
            </w:r>
          </w:p>
        </w:tc>
        <w:tc>
          <w:tcPr>
            <w:tcW w:w="16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63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生产厂家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10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单 价    （万元）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总 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64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850" w:firstLineChars="250"/>
              <w:rPr>
                <w:rFonts w:hint="eastAsia" w:ascii="宋体" w:hAnsi="宋体" w:eastAsia="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340" w:firstLineChars="100"/>
              <w:jc w:val="center"/>
              <w:rPr>
                <w:rFonts w:hint="eastAsia" w:ascii="宋体" w:hAnsi="宋体" w:eastAsia="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65" w:type="dxa"/>
            <w:gridSpan w:val="7"/>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合计金额（小写）：元           （大写）：元整</w:t>
            </w:r>
          </w:p>
        </w:tc>
      </w:tr>
    </w:tbl>
    <w:p>
      <w:pPr>
        <w:spacing w:line="460" w:lineRule="exact"/>
        <w:rPr>
          <w:rFonts w:hint="eastAsia" w:ascii="宋体" w:hAnsi="宋体" w:eastAsia="宋体" w:cs="宋体"/>
          <w:sz w:val="24"/>
          <w:szCs w:val="24"/>
        </w:rPr>
      </w:pPr>
      <w:r>
        <w:rPr>
          <w:rFonts w:hint="eastAsia" w:ascii="宋体" w:hAnsi="宋体" w:eastAsia="宋体" w:cs="宋体"/>
          <w:sz w:val="24"/>
        </w:rPr>
        <w:t xml:space="preserve">   </w:t>
      </w:r>
      <w:r>
        <w:rPr>
          <w:rFonts w:hint="eastAsia" w:ascii="宋体" w:hAnsi="宋体" w:eastAsia="宋体" w:cs="宋体"/>
          <w:sz w:val="24"/>
          <w:szCs w:val="24"/>
        </w:rPr>
        <w:t xml:space="preserve"> </w:t>
      </w:r>
    </w:p>
    <w:p>
      <w:pPr>
        <w:spacing w:line="460" w:lineRule="exact"/>
        <w:rPr>
          <w:rFonts w:hint="eastAsia" w:ascii="宋体" w:hAnsi="宋体" w:eastAsia="宋体" w:cs="宋体"/>
          <w:sz w:val="24"/>
          <w:szCs w:val="24"/>
        </w:rPr>
      </w:pPr>
      <w:r>
        <w:rPr>
          <w:rFonts w:hint="eastAsia" w:ascii="宋体" w:hAnsi="宋体" w:eastAsia="宋体" w:cs="宋体"/>
          <w:sz w:val="24"/>
          <w:szCs w:val="24"/>
        </w:rPr>
        <w:t>二、主体资格及知识产权承诺</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乙方应保证其对该产品拥有完全的所有权或已得到所有者充分的销售授权，并确保向甲方提供的所有资质文件真实有效。（涉及软件须提供正版标识。）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三、所购产品配置</w:t>
      </w:r>
    </w:p>
    <w:p>
      <w:pPr>
        <w:spacing w:line="460" w:lineRule="exact"/>
        <w:ind w:left="1520" w:leftChars="200" w:hanging="840" w:hangingChars="350"/>
        <w:rPr>
          <w:rFonts w:hint="eastAsia" w:ascii="宋体" w:hAnsi="宋体" w:eastAsia="宋体" w:cs="宋体"/>
          <w:sz w:val="24"/>
          <w:szCs w:val="24"/>
        </w:rPr>
      </w:pPr>
      <w:r>
        <w:rPr>
          <w:rFonts w:hint="eastAsia" w:ascii="宋体" w:hAnsi="宋体" w:eastAsia="宋体" w:cs="宋体"/>
          <w:sz w:val="24"/>
          <w:szCs w:val="24"/>
        </w:rPr>
        <w:t>该合同价款包括了</w:t>
      </w:r>
      <w:r>
        <w:rPr>
          <w:rFonts w:hint="eastAsia" w:ascii="宋体" w:hAnsi="宋体" w:eastAsia="宋体" w:cs="宋体"/>
          <w:sz w:val="24"/>
        </w:rPr>
        <w:t>《比选文件》 、《响应文件》</w:t>
      </w:r>
      <w:r>
        <w:rPr>
          <w:rFonts w:hint="eastAsia" w:ascii="宋体" w:hAnsi="宋体" w:eastAsia="宋体" w:cs="宋体"/>
          <w:sz w:val="24"/>
          <w:szCs w:val="24"/>
        </w:rPr>
        <w:t>所有内容。</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四、交货及验收</w:t>
      </w:r>
    </w:p>
    <w:p>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1、自本合同签订之日起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个工作日内由乙方送货至甲方指定科室并负责安装，乙方承担所有运费、安装费、培训费等费用。交货前货物的所有风险由乙方承担。</w:t>
      </w:r>
    </w:p>
    <w:p>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乙方将产品运送至甲方后由甲方指派工作人员按照《医疗器械监督管理条例》、《医疗器械说明书和标签管理规定》、《比选文件》、《资质性响应文件》、《其他响应文件》等相关规定对产品进行验收，并签收合格证明，该证明生效方式：</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（1）甲方指定工作人员（姓名）    叶红   签字生效；</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（2）甲方盖章后生效。</w:t>
      </w:r>
    </w:p>
    <w:p>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3、如乙方所供货物不符合上述要求，甲方有权拒签验收合格证明，并有权要求乙方无条件更换或补齐；乙方应在甲方提出上述要求后10日内提供符合上述要求的产品。如不能在上述时间内提供产品，甲方有权退货并解除合同，如已支付货款的，要求乙方全额返还货款，并按照合同第七条要求乙方支付违约金。</w:t>
      </w:r>
    </w:p>
    <w:p>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五、质量承诺及产品维修：</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1、乙方应保证该货物原产地真实，是全新的、未使用过的，质量符合国家标准（在无国家标准时，符合行业标准），不得以假充真，以次充好。</w:t>
      </w:r>
    </w:p>
    <w:p>
      <w:pPr>
        <w:spacing w:line="500" w:lineRule="exact"/>
        <w:ind w:left="-224" w:leftChars="-66" w:firstLine="720" w:firstLineChars="300"/>
        <w:rPr>
          <w:rFonts w:hint="eastAsia" w:ascii="宋体" w:hAnsi="宋体" w:eastAsia="宋体" w:cs="宋体"/>
          <w:sz w:val="24"/>
          <w:szCs w:val="24"/>
        </w:rPr>
      </w:pPr>
      <w:r>
        <w:rPr>
          <w:rFonts w:hint="eastAsia" w:ascii="宋体" w:hAnsi="宋体" w:eastAsia="宋体" w:cs="宋体"/>
          <w:sz w:val="24"/>
          <w:szCs w:val="24"/>
        </w:rPr>
        <w:t>2、如因产品质量瑕疵导致甲方在使用中造成第三人受到损害而导致甲方赔偿，乙方对此承担全部责任。</w:t>
      </w:r>
    </w:p>
    <w:p>
      <w:pPr>
        <w:spacing w:line="460" w:lineRule="exact"/>
        <w:ind w:firstLine="570"/>
        <w:rPr>
          <w:rFonts w:hint="eastAsia" w:ascii="宋体" w:hAnsi="宋体" w:eastAsia="宋体" w:cs="宋体"/>
          <w:sz w:val="24"/>
          <w:highlight w:val="yellow"/>
        </w:rPr>
      </w:pPr>
      <w:r>
        <w:rPr>
          <w:rFonts w:hint="eastAsia" w:ascii="宋体" w:hAnsi="宋体" w:eastAsia="宋体" w:cs="宋体"/>
          <w:sz w:val="24"/>
          <w:szCs w:val="24"/>
        </w:rPr>
        <w:t>3、</w:t>
      </w:r>
      <w:r>
        <w:rPr>
          <w:rFonts w:hint="eastAsia" w:ascii="宋体" w:hAnsi="宋体" w:eastAsia="宋体" w:cs="宋体"/>
          <w:sz w:val="24"/>
        </w:rPr>
        <w:t xml:space="preserve">产品质保期：所有产品质保期   年。 </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rPr>
        <w:t>质保期内乙方应免费负责产品维修维护工作，产品出现任何质量问题报修时，售后应2小时内作出响应，如4小时内无法电话解决问题，乙方维修工程师必须在接到故障报告后24小时内到达甲方现场修理和更换零件，费用由乙方承担（元旦、春节、劳动节、国庆节四个法定节日除外）。否则甲方一切损失由乙方承担。</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5、保修期内、外如涉及更换配件的，则所换配件必须是原厂全新的。保修期外为终身维护，产品故障维修只收取零配件费用，零配件及耗材的费用不得高于省内同级医院维修更换的平均价格收取，免收人工等其他费用。</w:t>
      </w:r>
    </w:p>
    <w:p>
      <w:pPr>
        <w:spacing w:line="360" w:lineRule="auto"/>
        <w:ind w:firstLine="573"/>
        <w:rPr>
          <w:rFonts w:hint="eastAsia" w:ascii="宋体" w:hAnsi="宋体" w:eastAsia="宋体" w:cs="宋体"/>
          <w:sz w:val="24"/>
          <w:szCs w:val="24"/>
        </w:rPr>
      </w:pPr>
      <w:r>
        <w:rPr>
          <w:rFonts w:hint="eastAsia" w:ascii="宋体" w:hAnsi="宋体" w:eastAsia="宋体" w:cs="宋体"/>
          <w:sz w:val="24"/>
          <w:szCs w:val="24"/>
        </w:rPr>
        <w:t>六、付款方式</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 xml:space="preserve">甲方按照合同对乙方提供产品验收合格后乙方提供正规发票，甲方以银行转帐方式向乙方支付货物全款的90%即 </w:t>
      </w:r>
      <w:r>
        <w:rPr>
          <w:rFonts w:hint="eastAsia" w:ascii="宋体" w:hAnsi="宋体" w:eastAsia="宋体" w:cs="宋体"/>
          <w:sz w:val="24"/>
          <w:szCs w:val="24"/>
          <w:u w:val="single"/>
        </w:rPr>
        <w:t xml:space="preserve">    元</w:t>
      </w:r>
      <w:r>
        <w:rPr>
          <w:rFonts w:hint="eastAsia" w:ascii="宋体" w:hAnsi="宋体" w:eastAsia="宋体" w:cs="宋体"/>
          <w:sz w:val="24"/>
          <w:szCs w:val="24"/>
        </w:rPr>
        <w:t>。剩余</w:t>
      </w:r>
      <w:r>
        <w:rPr>
          <w:rFonts w:hint="eastAsia" w:hAnsi="宋体" w:cs="宋体"/>
          <w:sz w:val="24"/>
          <w:szCs w:val="24"/>
          <w:lang w:val="en-US" w:eastAsia="zh-CN"/>
        </w:rPr>
        <w:t>10</w:t>
      </w:r>
      <w:r>
        <w:rPr>
          <w:rFonts w:hint="eastAsia" w:ascii="宋体" w:hAnsi="宋体" w:eastAsia="宋体" w:cs="宋体"/>
          <w:sz w:val="24"/>
          <w:szCs w:val="24"/>
        </w:rPr>
        <w:t>%即</w:t>
      </w:r>
      <w:r>
        <w:rPr>
          <w:rFonts w:hint="eastAsia" w:ascii="宋体" w:hAnsi="宋体" w:eastAsia="宋体" w:cs="宋体"/>
          <w:sz w:val="24"/>
          <w:szCs w:val="24"/>
          <w:u w:val="single"/>
        </w:rPr>
        <w:t xml:space="preserve">    元</w:t>
      </w:r>
      <w:r>
        <w:rPr>
          <w:rFonts w:hint="eastAsia" w:ascii="宋体" w:hAnsi="宋体" w:eastAsia="宋体" w:cs="宋体"/>
          <w:sz w:val="24"/>
          <w:szCs w:val="24"/>
        </w:rPr>
        <w:t>作为质量保证金于产品验收合格之日起无质量问题无息支付。</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七、违约责任</w:t>
      </w:r>
      <w:bookmarkStart w:id="134" w:name="_GoBack"/>
      <w:bookmarkEnd w:id="134"/>
    </w:p>
    <w:p>
      <w:pPr>
        <w:tabs>
          <w:tab w:val="left" w:pos="0"/>
          <w:tab w:val="left" w:pos="540"/>
        </w:tabs>
        <w:spacing w:line="3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1、每延迟到货一天扣成交总价的0.5％即</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元作为违约金支付给甲方。</w:t>
      </w:r>
    </w:p>
    <w:p>
      <w:pPr>
        <w:spacing w:line="460" w:lineRule="exact"/>
        <w:ind w:left="231" w:leftChars="68" w:firstLine="480" w:firstLineChars="200"/>
        <w:jc w:val="left"/>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rPr>
        <w:t>如乙方未能及时履行维修义务，每出现一次违约情况，应向对方支付违约金5%即</w:t>
      </w:r>
      <w:r>
        <w:rPr>
          <w:rFonts w:hint="eastAsia" w:ascii="宋体" w:hAnsi="宋体" w:eastAsia="宋体" w:cs="宋体"/>
          <w:sz w:val="24"/>
          <w:szCs w:val="24"/>
          <w:u w:val="single"/>
        </w:rPr>
        <w:t xml:space="preserve">    元。</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八、争议解决</w:t>
      </w:r>
    </w:p>
    <w:p>
      <w:pPr>
        <w:spacing w:line="460" w:lineRule="exact"/>
        <w:ind w:firstLine="570"/>
        <w:rPr>
          <w:rFonts w:hint="eastAsia" w:ascii="宋体" w:hAnsi="宋体" w:eastAsia="宋体" w:cs="宋体"/>
          <w:sz w:val="24"/>
          <w:szCs w:val="24"/>
        </w:rPr>
      </w:pPr>
      <w:r>
        <w:rPr>
          <w:rFonts w:hint="eastAsia" w:ascii="宋体" w:hAnsi="宋体" w:eastAsia="宋体" w:cs="宋体"/>
          <w:sz w:val="24"/>
          <w:szCs w:val="24"/>
        </w:rPr>
        <w:t>应履行本协议导致的纠纷由双方本着诚信、友好之原则积极协商，如协商无果，可向甲方所在地人民法院提起诉讼。</w:t>
      </w:r>
    </w:p>
    <w:p>
      <w:pPr>
        <w:spacing w:line="460" w:lineRule="exact"/>
        <w:ind w:firstLine="570"/>
        <w:rPr>
          <w:rFonts w:hint="eastAsia" w:ascii="宋体" w:hAnsi="宋体" w:eastAsia="宋体" w:cs="宋体"/>
          <w:sz w:val="24"/>
        </w:rPr>
      </w:pPr>
      <w:r>
        <w:rPr>
          <w:rFonts w:hint="eastAsia" w:ascii="宋体" w:hAnsi="宋体" w:eastAsia="宋体" w:cs="宋体"/>
          <w:sz w:val="24"/>
        </w:rPr>
        <w:t>九、本合同一式五份，甲方二份，乙方、政府采购管理部门、采购代理机构各一份，双方签字盖章后生效。</w:t>
      </w:r>
    </w:p>
    <w:p>
      <w:pPr>
        <w:spacing w:line="460" w:lineRule="exact"/>
        <w:ind w:firstLine="570"/>
        <w:rPr>
          <w:rFonts w:hint="eastAsia" w:ascii="宋体" w:hAnsi="宋体" w:eastAsia="宋体" w:cs="宋体"/>
          <w:sz w:val="24"/>
        </w:rPr>
      </w:pPr>
      <w:r>
        <w:rPr>
          <w:rFonts w:hint="eastAsia" w:ascii="宋体" w:hAnsi="宋体" w:eastAsia="宋体" w:cs="宋体"/>
          <w:sz w:val="24"/>
        </w:rPr>
        <w:t>十、《比选文件》、《响应文件》作为本合同附件，与合同条款具备相同效力。</w:t>
      </w:r>
    </w:p>
    <w:p>
      <w:pPr>
        <w:spacing w:line="460" w:lineRule="exact"/>
        <w:ind w:firstLine="570"/>
        <w:rPr>
          <w:rFonts w:hint="eastAsia" w:ascii="宋体" w:hAnsi="宋体" w:eastAsia="宋体" w:cs="宋体"/>
          <w:sz w:val="24"/>
        </w:rPr>
      </w:pPr>
      <w:r>
        <w:rPr>
          <w:rFonts w:hint="eastAsia" w:ascii="宋体" w:hAnsi="宋体" w:eastAsia="宋体" w:cs="宋体"/>
          <w:sz w:val="24"/>
        </w:rPr>
        <w:t>十一、合同及附件中中英文对照词汇，以中文内容为准。</w:t>
      </w:r>
    </w:p>
    <w:p>
      <w:pPr>
        <w:spacing w:line="460" w:lineRule="exact"/>
        <w:rPr>
          <w:rFonts w:hint="eastAsia" w:ascii="宋体" w:hAnsi="宋体" w:eastAsia="宋体" w:cs="宋体"/>
          <w:sz w:val="24"/>
        </w:rPr>
      </w:pPr>
    </w:p>
    <w:p>
      <w:pPr>
        <w:spacing w:line="460" w:lineRule="exact"/>
        <w:ind w:firstLine="360" w:firstLineChars="150"/>
        <w:rPr>
          <w:rFonts w:hint="eastAsia" w:ascii="宋体" w:hAnsi="宋体" w:eastAsia="宋体" w:cs="宋体"/>
          <w:bCs/>
          <w:sz w:val="24"/>
        </w:rPr>
      </w:pPr>
      <w:r>
        <w:rPr>
          <w:rFonts w:hint="eastAsia" w:ascii="宋体" w:hAnsi="宋体" w:eastAsia="宋体" w:cs="宋体"/>
          <w:sz w:val="24"/>
        </w:rPr>
        <w:t xml:space="preserve">甲方：                            </w:t>
      </w:r>
      <w:r>
        <w:rPr>
          <w:rFonts w:hint="eastAsia" w:ascii="宋体" w:hAnsi="宋体" w:eastAsia="宋体" w:cs="宋体"/>
          <w:b/>
          <w:sz w:val="24"/>
        </w:rPr>
        <w:t xml:space="preserve">     </w:t>
      </w:r>
      <w:r>
        <w:rPr>
          <w:rFonts w:hint="eastAsia" w:ascii="宋体" w:hAnsi="宋体" w:eastAsia="宋体" w:cs="宋体"/>
          <w:sz w:val="24"/>
        </w:rPr>
        <w:t xml:space="preserve">     乙方：</w:t>
      </w:r>
    </w:p>
    <w:p>
      <w:pPr>
        <w:spacing w:line="460" w:lineRule="exact"/>
        <w:rPr>
          <w:rFonts w:hint="eastAsia" w:ascii="宋体" w:hAnsi="宋体" w:eastAsia="宋体" w:cs="宋体"/>
          <w:bCs/>
          <w:sz w:val="24"/>
        </w:rPr>
      </w:pPr>
    </w:p>
    <w:p>
      <w:pPr>
        <w:spacing w:line="380" w:lineRule="exact"/>
        <w:ind w:firstLine="240" w:firstLineChars="100"/>
        <w:rPr>
          <w:rFonts w:hint="eastAsia" w:ascii="宋体" w:hAnsi="宋体" w:eastAsia="宋体" w:cs="宋体"/>
          <w:sz w:val="24"/>
        </w:rPr>
      </w:pPr>
      <w:r>
        <w:rPr>
          <w:rFonts w:hint="eastAsia" w:ascii="宋体" w:hAnsi="宋体" w:eastAsia="宋体" w:cs="宋体"/>
          <w:sz w:val="24"/>
        </w:rPr>
        <w:t>（法人签字、单位盖章）                     （法人签字、公司盖章）</w:t>
      </w:r>
    </w:p>
    <w:p>
      <w:pPr>
        <w:spacing w:line="380" w:lineRule="exact"/>
        <w:rPr>
          <w:rFonts w:hint="eastAsia" w:ascii="宋体" w:hAnsi="宋体" w:eastAsia="宋体" w:cs="宋体"/>
          <w:sz w:val="24"/>
        </w:rPr>
      </w:pPr>
    </w:p>
    <w:p>
      <w:pPr>
        <w:spacing w:line="380" w:lineRule="exact"/>
        <w:ind w:firstLine="240" w:firstLineChars="100"/>
        <w:rPr>
          <w:rFonts w:hint="eastAsia" w:ascii="宋体" w:hAnsi="宋体" w:eastAsia="宋体" w:cs="宋体"/>
          <w:sz w:val="24"/>
        </w:rPr>
      </w:pPr>
      <w:r>
        <w:rPr>
          <w:rFonts w:hint="eastAsia" w:ascii="宋体" w:hAnsi="宋体" w:eastAsia="宋体" w:cs="宋体"/>
          <w:sz w:val="24"/>
        </w:rPr>
        <w:t>（委托代理人签字）                         （委托代理人签字）</w:t>
      </w:r>
    </w:p>
    <w:p>
      <w:pPr>
        <w:spacing w:line="380" w:lineRule="exact"/>
        <w:rPr>
          <w:rFonts w:hint="eastAsia" w:ascii="宋体" w:hAnsi="宋体" w:eastAsia="宋体" w:cs="宋体"/>
          <w:sz w:val="24"/>
        </w:rPr>
      </w:pPr>
    </w:p>
    <w:p>
      <w:pPr>
        <w:spacing w:line="380" w:lineRule="exact"/>
        <w:ind w:firstLine="720" w:firstLineChars="300"/>
        <w:rPr>
          <w:rFonts w:hint="eastAsia" w:ascii="宋体" w:hAnsi="宋体" w:eastAsia="宋体" w:cs="宋体"/>
        </w:rPr>
      </w:pPr>
      <w:r>
        <w:rPr>
          <w:rFonts w:hint="eastAsia" w:ascii="宋体" w:hAnsi="宋体" w:eastAsia="宋体" w:cs="宋体"/>
          <w:sz w:val="24"/>
        </w:rPr>
        <w:t>年   月   日                               年     月         日</w:t>
      </w:r>
    </w:p>
    <w:sectPr>
      <w:headerReference r:id="rId11"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37250" cy="5798820"/>
          <wp:effectExtent l="0" t="0" r="6350" b="11430"/>
          <wp:wrapNone/>
          <wp:docPr id="2" name="WordPictureWatermark10807383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08073835" descr="水印"/>
                  <pic:cNvPicPr>
                    <a:picLocks noChangeAspect="1"/>
                  </pic:cNvPicPr>
                </pic:nvPicPr>
                <pic:blipFill>
                  <a:blip r:embed="rId1">
                    <a:lum bright="70001" contrast="-70000"/>
                  </a:blip>
                  <a:stretch>
                    <a:fillRect/>
                  </a:stretch>
                </pic:blipFill>
                <pic:spPr>
                  <a:xfrm>
                    <a:off x="0" y="0"/>
                    <a:ext cx="5937250" cy="57988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left" w:pos="1047"/>
      </w:tabs>
      <w:jc w:val="left"/>
      <w:rPr>
        <w:rFonts w:hint="eastAsia" w:eastAsia="宋体"/>
        <w:lang w:eastAsia="zh-CN"/>
      </w:rPr>
    </w:pP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A301E"/>
    <w:multiLevelType w:val="singleLevel"/>
    <w:tmpl w:val="B0FA301E"/>
    <w:lvl w:ilvl="0" w:tentative="0">
      <w:start w:val="2"/>
      <w:numFmt w:val="chineseCounting"/>
      <w:suff w:val="space"/>
      <w:lvlText w:val="（%1）"/>
      <w:lvlJc w:val="left"/>
      <w:rPr>
        <w:rFonts w:hint="eastAsia"/>
      </w:rPr>
    </w:lvl>
  </w:abstractNum>
  <w:abstractNum w:abstractNumId="1">
    <w:nsid w:val="0000000A"/>
    <w:multiLevelType w:val="multilevel"/>
    <w:tmpl w:val="0000000A"/>
    <w:lvl w:ilvl="0" w:tentative="0">
      <w:start w:val="1"/>
      <w:numFmt w:val="japaneseCounting"/>
      <w:lvlText w:val="%1、"/>
      <w:lvlJc w:val="left"/>
      <w:pPr>
        <w:tabs>
          <w:tab w:val="left" w:pos="1281"/>
        </w:tabs>
        <w:ind w:left="1281" w:hanging="720"/>
      </w:pPr>
      <w:rPr>
        <w:rFonts w:hint="default"/>
      </w:rPr>
    </w:lvl>
    <w:lvl w:ilvl="1" w:tentative="0">
      <w:start w:val="1"/>
      <w:numFmt w:val="lowerLetter"/>
      <w:lvlRestart w:val="0"/>
      <w:lvlText w:val="%2)"/>
      <w:lvlJc w:val="left"/>
      <w:pPr>
        <w:tabs>
          <w:tab w:val="left" w:pos="1401"/>
        </w:tabs>
        <w:ind w:left="1401" w:hanging="420"/>
      </w:pPr>
    </w:lvl>
    <w:lvl w:ilvl="2" w:tentative="0">
      <w:start w:val="1"/>
      <w:numFmt w:val="lowerRoman"/>
      <w:lvlRestart w:val="0"/>
      <w:lvlText w:val="%3."/>
      <w:lvlJc w:val="right"/>
      <w:pPr>
        <w:tabs>
          <w:tab w:val="left" w:pos="1821"/>
        </w:tabs>
        <w:ind w:left="1821" w:hanging="420"/>
      </w:pPr>
    </w:lvl>
    <w:lvl w:ilvl="3" w:tentative="0">
      <w:start w:val="1"/>
      <w:numFmt w:val="decimal"/>
      <w:lvlRestart w:val="0"/>
      <w:lvlText w:val="%4."/>
      <w:lvlJc w:val="left"/>
      <w:pPr>
        <w:tabs>
          <w:tab w:val="left" w:pos="2241"/>
        </w:tabs>
        <w:ind w:left="2241" w:hanging="420"/>
      </w:pPr>
    </w:lvl>
    <w:lvl w:ilvl="4" w:tentative="0">
      <w:start w:val="1"/>
      <w:numFmt w:val="lowerLetter"/>
      <w:lvlRestart w:val="0"/>
      <w:lvlText w:val="%5)"/>
      <w:lvlJc w:val="left"/>
      <w:pPr>
        <w:tabs>
          <w:tab w:val="left" w:pos="2661"/>
        </w:tabs>
        <w:ind w:left="2661" w:hanging="420"/>
      </w:pPr>
    </w:lvl>
    <w:lvl w:ilvl="5" w:tentative="0">
      <w:start w:val="1"/>
      <w:numFmt w:val="lowerRoman"/>
      <w:lvlRestart w:val="0"/>
      <w:lvlText w:val="%6."/>
      <w:lvlJc w:val="right"/>
      <w:pPr>
        <w:tabs>
          <w:tab w:val="left" w:pos="3081"/>
        </w:tabs>
        <w:ind w:left="3081" w:hanging="420"/>
      </w:pPr>
    </w:lvl>
    <w:lvl w:ilvl="6" w:tentative="0">
      <w:start w:val="1"/>
      <w:numFmt w:val="decimal"/>
      <w:lvlRestart w:val="0"/>
      <w:lvlText w:val="%7."/>
      <w:lvlJc w:val="left"/>
      <w:pPr>
        <w:tabs>
          <w:tab w:val="left" w:pos="3501"/>
        </w:tabs>
        <w:ind w:left="3501" w:hanging="420"/>
      </w:pPr>
    </w:lvl>
    <w:lvl w:ilvl="7" w:tentative="0">
      <w:start w:val="1"/>
      <w:numFmt w:val="lowerLetter"/>
      <w:lvlRestart w:val="0"/>
      <w:lvlText w:val="%8)"/>
      <w:lvlJc w:val="left"/>
      <w:pPr>
        <w:tabs>
          <w:tab w:val="left" w:pos="3921"/>
        </w:tabs>
        <w:ind w:left="3921" w:hanging="420"/>
      </w:pPr>
    </w:lvl>
    <w:lvl w:ilvl="8" w:tentative="0">
      <w:start w:val="1"/>
      <w:numFmt w:val="lowerRoman"/>
      <w:lvlRestart w:val="0"/>
      <w:lvlText w:val="%9."/>
      <w:lvlJc w:val="right"/>
      <w:pPr>
        <w:tabs>
          <w:tab w:val="left" w:pos="4341"/>
        </w:tabs>
        <w:ind w:left="4341" w:hanging="420"/>
      </w:pPr>
    </w:lvl>
  </w:abstractNum>
  <w:abstractNum w:abstractNumId="2">
    <w:nsid w:val="147D4424"/>
    <w:multiLevelType w:val="multilevel"/>
    <w:tmpl w:val="147D4424"/>
    <w:lvl w:ilvl="0" w:tentative="0">
      <w:start w:val="2"/>
      <w:numFmt w:val="decimal"/>
      <w:lvlText w:val="%1."/>
      <w:lvlJc w:val="left"/>
      <w:pPr>
        <w:tabs>
          <w:tab w:val="left" w:pos="839"/>
        </w:tabs>
        <w:ind w:left="839" w:hanging="360"/>
      </w:pPr>
      <w:rPr>
        <w:rFonts w:hint="default" w:cs="Consolas"/>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default" w:cs="Consolas"/>
        <w:color w:val="000000"/>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1A9EFE"/>
    <w:multiLevelType w:val="singleLevel"/>
    <w:tmpl w:val="551A9EFE"/>
    <w:lvl w:ilvl="0" w:tentative="0">
      <w:start w:val="1"/>
      <w:numFmt w:val="chineseCounting"/>
      <w:suff w:val="nothing"/>
      <w:lvlText w:val="%1、"/>
      <w:lvlJc w:val="left"/>
    </w:lvl>
  </w:abstractNum>
  <w:abstractNum w:abstractNumId="4">
    <w:nsid w:val="5B2785BD"/>
    <w:multiLevelType w:val="singleLevel"/>
    <w:tmpl w:val="5B2785BD"/>
    <w:lvl w:ilvl="0" w:tentative="0">
      <w:start w:val="1"/>
      <w:numFmt w:val="chineseCounting"/>
      <w:suff w:val="nothing"/>
      <w:lvlText w:val="%1、"/>
      <w:lvlJc w:val="left"/>
    </w:lvl>
  </w:abstractNum>
  <w:abstractNum w:abstractNumId="5">
    <w:nsid w:val="5F48CA66"/>
    <w:multiLevelType w:val="singleLevel"/>
    <w:tmpl w:val="5F48CA66"/>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cxYzk0ZDJiYWIxOGE3ZTc5ODk3OTJkNjRkYjg1MjMifQ=="/>
  </w:docVars>
  <w:rsids>
    <w:rsidRoot w:val="16DF704B"/>
    <w:rsid w:val="001254C0"/>
    <w:rsid w:val="003D087C"/>
    <w:rsid w:val="00852E57"/>
    <w:rsid w:val="00B90F5A"/>
    <w:rsid w:val="02CF4384"/>
    <w:rsid w:val="03C15B2A"/>
    <w:rsid w:val="050C3A26"/>
    <w:rsid w:val="087F1AAE"/>
    <w:rsid w:val="0BCE6DCF"/>
    <w:rsid w:val="0C004AAD"/>
    <w:rsid w:val="0E8D4DE5"/>
    <w:rsid w:val="0E8D6FFD"/>
    <w:rsid w:val="15484B5D"/>
    <w:rsid w:val="15DB5B32"/>
    <w:rsid w:val="16DF704B"/>
    <w:rsid w:val="16FF4BC4"/>
    <w:rsid w:val="1996066A"/>
    <w:rsid w:val="1AB1074D"/>
    <w:rsid w:val="1E112C11"/>
    <w:rsid w:val="1E4E433E"/>
    <w:rsid w:val="20496D9A"/>
    <w:rsid w:val="20EE507A"/>
    <w:rsid w:val="28E133D3"/>
    <w:rsid w:val="29F27C4F"/>
    <w:rsid w:val="2E08075C"/>
    <w:rsid w:val="347B3EFE"/>
    <w:rsid w:val="35410B70"/>
    <w:rsid w:val="36A919F1"/>
    <w:rsid w:val="3A090066"/>
    <w:rsid w:val="3D3A1C6A"/>
    <w:rsid w:val="40BC1296"/>
    <w:rsid w:val="439F589C"/>
    <w:rsid w:val="456A4694"/>
    <w:rsid w:val="46FB375A"/>
    <w:rsid w:val="48DB094F"/>
    <w:rsid w:val="4B647547"/>
    <w:rsid w:val="4B772E11"/>
    <w:rsid w:val="4DEB3240"/>
    <w:rsid w:val="4FD9799A"/>
    <w:rsid w:val="503A111B"/>
    <w:rsid w:val="51E94BEA"/>
    <w:rsid w:val="534D1FA6"/>
    <w:rsid w:val="543041FC"/>
    <w:rsid w:val="549127D0"/>
    <w:rsid w:val="5AC5121C"/>
    <w:rsid w:val="5C697479"/>
    <w:rsid w:val="5C847BA1"/>
    <w:rsid w:val="5CE35762"/>
    <w:rsid w:val="61427820"/>
    <w:rsid w:val="6250713E"/>
    <w:rsid w:val="63CA6B56"/>
    <w:rsid w:val="64C57B0F"/>
    <w:rsid w:val="6A3F764F"/>
    <w:rsid w:val="6A8C1CE2"/>
    <w:rsid w:val="716445B0"/>
    <w:rsid w:val="72311960"/>
    <w:rsid w:val="749076EE"/>
    <w:rsid w:val="7A4E1D4F"/>
    <w:rsid w:val="7C57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szCs w:val="22"/>
      <w:lang w:val="en-US" w:eastAsia="zh-CN" w:bidi="ar-SA"/>
    </w:rPr>
  </w:style>
  <w:style w:type="paragraph" w:styleId="4">
    <w:name w:val="heading 1"/>
    <w:basedOn w:val="1"/>
    <w:next w:val="1"/>
    <w:link w:val="34"/>
    <w:qFormat/>
    <w:uiPriority w:val="0"/>
    <w:pPr>
      <w:keepNext/>
      <w:keepLines/>
      <w:snapToGrid w:val="0"/>
      <w:spacing w:before="220" w:after="90" w:line="360" w:lineRule="auto"/>
      <w:jc w:val="center"/>
      <w:outlineLvl w:val="0"/>
    </w:pPr>
    <w:rPr>
      <w:b/>
      <w:bCs/>
      <w:kern w:val="44"/>
      <w:sz w:val="36"/>
      <w:szCs w:val="44"/>
    </w:rPr>
  </w:style>
  <w:style w:type="paragraph" w:styleId="5">
    <w:name w:val="heading 2"/>
    <w:basedOn w:val="1"/>
    <w:next w:val="1"/>
    <w:qFormat/>
    <w:uiPriority w:val="0"/>
    <w:pPr>
      <w:keepNext/>
      <w:keepLines/>
      <w:spacing w:before="140" w:after="140" w:line="360" w:lineRule="auto"/>
      <w:jc w:val="center"/>
      <w:outlineLvl w:val="1"/>
    </w:pPr>
    <w:rPr>
      <w:rFonts w:ascii="Calibri" w:eastAsia="黑体"/>
      <w:b/>
      <w:bCs/>
      <w:sz w:val="32"/>
      <w:szCs w:val="32"/>
    </w:rPr>
  </w:style>
  <w:style w:type="paragraph" w:styleId="6">
    <w:name w:val="heading 3"/>
    <w:basedOn w:val="1"/>
    <w:next w:val="1"/>
    <w:link w:val="29"/>
    <w:qFormat/>
    <w:uiPriority w:val="0"/>
    <w:pPr>
      <w:keepNext/>
      <w:keepLines/>
      <w:spacing w:before="140" w:after="140" w:line="416" w:lineRule="auto"/>
      <w:ind w:firstLine="720" w:firstLineChars="200"/>
      <w:jc w:val="left"/>
      <w:outlineLvl w:val="2"/>
    </w:pPr>
    <w:rPr>
      <w:b/>
      <w:bCs/>
      <w:sz w:val="24"/>
      <w:szCs w:val="32"/>
    </w:rPr>
  </w:style>
  <w:style w:type="paragraph" w:styleId="7">
    <w:name w:val="heading 4"/>
    <w:basedOn w:val="1"/>
    <w:next w:val="1"/>
    <w:link w:val="32"/>
    <w:qFormat/>
    <w:uiPriority w:val="9"/>
    <w:pPr>
      <w:keepNext/>
      <w:keepLines/>
      <w:spacing w:before="280" w:after="290" w:line="376" w:lineRule="auto"/>
      <w:jc w:val="center"/>
      <w:outlineLvl w:val="3"/>
    </w:pPr>
    <w:rPr>
      <w:rFonts w:ascii="Calibri" w:eastAsia="黑体"/>
      <w:b/>
      <w:bCs/>
      <w:sz w:val="32"/>
      <w:szCs w:val="28"/>
    </w:rPr>
  </w:style>
  <w:style w:type="paragraph" w:styleId="8">
    <w:name w:val="heading 6"/>
    <w:basedOn w:val="1"/>
    <w:next w:val="1"/>
    <w:qFormat/>
    <w:uiPriority w:val="0"/>
    <w:pPr>
      <w:keepNext/>
      <w:keepLines/>
      <w:spacing w:before="240" w:after="64" w:line="320" w:lineRule="auto"/>
      <w:outlineLvl w:val="5"/>
    </w:pPr>
    <w:rPr>
      <w:rFonts w:ascii="Calibri" w:eastAsia="黑体"/>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11"/>
    <w:pPr>
      <w:spacing w:after="60"/>
      <w:jc w:val="center"/>
      <w:outlineLvl w:val="1"/>
    </w:pPr>
    <w:rPr>
      <w:rFonts w:ascii="Cambria" w:hAnsi="Cambria"/>
    </w:rPr>
  </w:style>
  <w:style w:type="paragraph" w:styleId="9">
    <w:name w:val="Normal Indent"/>
    <w:basedOn w:val="1"/>
    <w:qFormat/>
    <w:uiPriority w:val="0"/>
    <w:pPr>
      <w:ind w:firstLine="420"/>
    </w:pPr>
    <w:rPr>
      <w:szCs w:val="20"/>
    </w:rPr>
  </w:style>
  <w:style w:type="paragraph" w:styleId="10">
    <w:name w:val="annotation text"/>
    <w:basedOn w:val="1"/>
    <w:qFormat/>
    <w:uiPriority w:val="99"/>
    <w:pPr>
      <w:jc w:val="left"/>
    </w:pPr>
  </w:style>
  <w:style w:type="paragraph" w:styleId="11">
    <w:name w:val="Body Text Indent"/>
    <w:basedOn w:val="1"/>
    <w:qFormat/>
    <w:uiPriority w:val="0"/>
    <w:pPr>
      <w:ind w:firstLine="630"/>
    </w:pPr>
    <w:rPr>
      <w:sz w:val="32"/>
    </w:rPr>
  </w:style>
  <w:style w:type="paragraph" w:styleId="12">
    <w:name w:val="Plain Text"/>
    <w:basedOn w:val="1"/>
    <w:next w:val="13"/>
    <w:qFormat/>
    <w:uiPriority w:val="0"/>
    <w:rPr>
      <w:rFonts w:hAnsi="Courier New"/>
      <w:szCs w:val="20"/>
    </w:rPr>
  </w:style>
  <w:style w:type="paragraph" w:styleId="13">
    <w:name w:val="toc 2"/>
    <w:basedOn w:val="1"/>
    <w:next w:val="1"/>
    <w:qFormat/>
    <w:uiPriority w:val="0"/>
    <w:pPr>
      <w:spacing w:line="360" w:lineRule="auto"/>
      <w:ind w:left="210" w:leftChars="100" w:firstLine="472" w:firstLineChars="196"/>
      <w:jc w:val="left"/>
    </w:pPr>
    <w:rPr>
      <w:rFonts w:hAnsi="宋体"/>
      <w:b/>
      <w:sz w:val="24"/>
    </w:rPr>
  </w:style>
  <w:style w:type="paragraph" w:styleId="14">
    <w:name w:val="Body Text Indent 2"/>
    <w:basedOn w:val="1"/>
    <w:qFormat/>
    <w:uiPriority w:val="0"/>
    <w:pPr>
      <w:ind w:left="105" w:firstLine="690"/>
    </w:pPr>
    <w:rPr>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360" w:lineRule="auto"/>
    </w:pPr>
    <w:rPr>
      <w:rFonts w:ascii="Times New Roman" w:hAnsi="Times New Roman"/>
      <w:b/>
      <w:sz w:val="24"/>
    </w:rPr>
  </w:style>
  <w:style w:type="paragraph" w:styleId="18">
    <w:name w:val="Normal (Web)"/>
    <w:basedOn w:val="1"/>
    <w:qFormat/>
    <w:uiPriority w:val="99"/>
    <w:pPr>
      <w:widowControl/>
      <w:spacing w:before="100" w:beforeAutospacing="1" w:after="100" w:afterAutospacing="1"/>
      <w:jc w:val="left"/>
    </w:pPr>
    <w:rPr>
      <w:rFonts w:hAnsi="宋体"/>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rPr>
      <w:rFonts w:ascii="Times New Roman" w:hAnsi="Times New Roman" w:eastAsia="宋体" w:cs="Times New Roman"/>
    </w:rPr>
  </w:style>
  <w:style w:type="character" w:styleId="23">
    <w:name w:val="Hyperlink"/>
    <w:qFormat/>
    <w:uiPriority w:val="99"/>
    <w:rPr>
      <w:color w:val="0000FF"/>
      <w:u w:val="single"/>
    </w:rPr>
  </w:style>
  <w:style w:type="character" w:styleId="24">
    <w:name w:val="annotation reference"/>
    <w:qFormat/>
    <w:uiPriority w:val="99"/>
    <w:rPr>
      <w:sz w:val="21"/>
      <w:szCs w:val="21"/>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正文文本 21"/>
    <w:basedOn w:val="1"/>
    <w:qFormat/>
    <w:uiPriority w:val="0"/>
    <w:pPr>
      <w:adjustRightInd w:val="0"/>
      <w:spacing w:line="300" w:lineRule="auto"/>
      <w:jc w:val="center"/>
      <w:textAlignment w:val="baseline"/>
    </w:pPr>
    <w:rPr>
      <w:rFonts w:hAnsi="宋体"/>
      <w:sz w:val="24"/>
      <w:szCs w:val="20"/>
    </w:rPr>
  </w:style>
  <w:style w:type="paragraph" w:customStyle="1" w:styleId="2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29">
    <w:name w:val="标题 3 Char"/>
    <w:link w:val="6"/>
    <w:qFormat/>
    <w:uiPriority w:val="0"/>
    <w:rPr>
      <w:b/>
      <w:bCs/>
      <w:sz w:val="24"/>
      <w:szCs w:val="32"/>
    </w:rPr>
  </w:style>
  <w:style w:type="paragraph" w:customStyle="1" w:styleId="30">
    <w:name w:val="正文5"/>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31">
    <w:name w:val="表格"/>
    <w:basedOn w:val="1"/>
    <w:qFormat/>
    <w:uiPriority w:val="0"/>
    <w:pPr>
      <w:spacing w:line="400" w:lineRule="exact"/>
    </w:pPr>
    <w:rPr>
      <w:sz w:val="24"/>
    </w:rPr>
  </w:style>
  <w:style w:type="character" w:customStyle="1" w:styleId="32">
    <w:name w:val="标题 4 Char"/>
    <w:link w:val="7"/>
    <w:qFormat/>
    <w:uiPriority w:val="9"/>
    <w:rPr>
      <w:rFonts w:ascii="Calibri" w:hAnsi="Calibri" w:eastAsia="黑体"/>
      <w:b/>
      <w:bCs/>
      <w:kern w:val="0"/>
      <w:sz w:val="32"/>
      <w:szCs w:val="28"/>
    </w:rPr>
  </w:style>
  <w:style w:type="paragraph" w:customStyle="1" w:styleId="3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34">
    <w:name w:val="标题 1 Char"/>
    <w:link w:val="4"/>
    <w:qFormat/>
    <w:uiPriority w:val="0"/>
    <w:rPr>
      <w:b/>
      <w:bCs/>
      <w:kern w:val="44"/>
      <w:sz w:val="36"/>
      <w:szCs w:val="44"/>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9091</Words>
  <Characters>9480</Characters>
  <Lines>88</Lines>
  <Paragraphs>24</Paragraphs>
  <TotalTime>84</TotalTime>
  <ScaleCrop>false</ScaleCrop>
  <LinksUpToDate>false</LinksUpToDate>
  <CharactersWithSpaces>10128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2019-11-01T03:00:00Z</dcterms:created>
  <dc:creator>Leo10Messi</dc:creator>
  <cp:lastModifiedBy>Wenz</cp:lastModifiedBy>
  <cp:lastPrinted>2021-08-05T01:11:00Z</cp:lastPrinted>
  <dcterms:modified xsi:type="dcterms:W3CDTF">2022-09-01T08:03:42Z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CB690F99FF98411F87E0AC2CA50FF8B4</vt:lpwstr>
  </property>
</Properties>
</file>