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仿宋" w:hAnsi="仿宋" w:eastAsia="仿宋" w:cs="仿宋"/>
          <w:sz w:val="21"/>
          <w:szCs w:val="21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评审明细表</w:t>
      </w:r>
      <w:bookmarkStart w:id="0" w:name="_GoBack"/>
      <w:bookmarkEnd w:id="0"/>
    </w:p>
    <w:tbl>
      <w:tblPr>
        <w:tblStyle w:val="6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08"/>
        <w:gridCol w:w="1464"/>
        <w:gridCol w:w="4549"/>
        <w:gridCol w:w="19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评分因素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及权重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分值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评分标准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报价30%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（30分）</w:t>
            </w:r>
          </w:p>
        </w:tc>
        <w:tc>
          <w:tcPr>
            <w:tcW w:w="454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1、以满足本项目采购要求报价平均值为评审基准价，其价格分为满分。其他供应商的价格分统一按照下列公式计算：投标报价得分=(评审基准价／最后投标报价)×分值；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服务方案45%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污泥清掏、消毒、除臭、干化、处置方案（7分）</w:t>
            </w:r>
          </w:p>
        </w:tc>
        <w:tc>
          <w:tcPr>
            <w:tcW w:w="4549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1、制定有污泥清掏、消毒、除臭、干化、方案得2分；</w:t>
            </w:r>
          </w:p>
          <w:p>
            <w:pPr>
              <w:ind w:firstLine="630" w:firstLineChars="3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在此基础上按以下原则加分：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2、污泥清掏、消毒、除臭、干化、处置方案完整、内容全面、有针对性得2分；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3、污泥清掏、消毒、除臭、干化、转运处置方案条款完整、处理方式和流程条理清晰、针对性强、可行性高得3分；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本项最多得7分。 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4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具备</w:t>
            </w: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危险废类别HWO1,HW49；</w:t>
            </w: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贮存资质与</w:t>
            </w:r>
            <w:r>
              <w:rPr>
                <w:rFonts w:hint="eastAsia" w:ascii="仿宋" w:hAnsi="仿宋" w:eastAsia="仿宋" w:cs="仿宋"/>
                <w:szCs w:val="21"/>
              </w:rPr>
              <w:t>污泥清掏相关认证证书</w:t>
            </w:r>
          </w:p>
          <w:p>
            <w:pPr>
              <w:pStyle w:val="3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（16分）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49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1、具备</w:t>
            </w: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危险废物经营许可证经营类别HWO1,HW49</w:t>
            </w: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得10分【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shd w:val="clear" w:color="auto" w:fill="FFFFFF"/>
              </w:rPr>
              <w:t>提供联合体协议及本项目授权书</w:t>
            </w: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】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2、具有ISO认证证书及售后服务证书每一个得1.5分，最多得6分；</w:t>
            </w:r>
          </w:p>
          <w:p>
            <w:pPr>
              <w:pStyle w:val="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本项最多得16分。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4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安全管理制度</w:t>
            </w:r>
          </w:p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（8分）</w:t>
            </w:r>
          </w:p>
        </w:tc>
        <w:tc>
          <w:tcPr>
            <w:tcW w:w="4549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1、有安全管理制度相关方案得2分；</w:t>
            </w:r>
          </w:p>
          <w:p>
            <w:pPr>
              <w:ind w:firstLine="211" w:firstLineChars="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在此基础上按以下原则加分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2、制度健全，但缺乏针对性得2分；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3、制度健全，各道工序安全技术措施具有本项目针对性得4分；</w:t>
            </w:r>
          </w:p>
          <w:p>
            <w:pPr>
              <w:ind w:firstLine="630" w:firstLineChars="3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本项最多得8分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4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应急方案</w:t>
            </w:r>
          </w:p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（8分）</w:t>
            </w:r>
          </w:p>
        </w:tc>
        <w:tc>
          <w:tcPr>
            <w:tcW w:w="4549" w:type="dxa"/>
            <w:vAlign w:val="center"/>
          </w:tcPr>
          <w:p>
            <w:pPr>
              <w:pStyle w:val="3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1、施工现场突然事件安全应急措施方案得2分；</w:t>
            </w:r>
          </w:p>
          <w:p>
            <w:pPr>
              <w:ind w:firstLine="422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在此基础上按以下原则加分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2、应急措施条款较详细得3分；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3、应急措施条款详细、可行，且针对本项目方案得3分；</w:t>
            </w:r>
          </w:p>
          <w:p>
            <w:pPr>
              <w:ind w:firstLine="630" w:firstLineChars="3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本项最多得8分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4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质量保证措施</w:t>
            </w:r>
          </w:p>
          <w:p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（6分）</w:t>
            </w:r>
          </w:p>
        </w:tc>
        <w:tc>
          <w:tcPr>
            <w:tcW w:w="4549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1、具有服务质量控制措施得2分；</w:t>
            </w:r>
          </w:p>
          <w:p>
            <w:pPr>
              <w:ind w:firstLine="422" w:firstLineChars="2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在此基础上按以下原则加分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2、服务质量控制目标较明确、质控措施条款较清晰得2分；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3、服务质量控制目标明确、质控措施条款清晰、高效得2分；</w:t>
            </w:r>
          </w:p>
          <w:p>
            <w:pPr>
              <w:ind w:firstLine="630" w:firstLineChars="3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本项最多得6分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履约能力25%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（25分）</w:t>
            </w:r>
          </w:p>
        </w:tc>
        <w:tc>
          <w:tcPr>
            <w:tcW w:w="4549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1、2020年1月至今每提供1个医院污泥清掏类似业绩的得2分。最多得10分。</w:t>
            </w:r>
          </w:p>
          <w:p>
            <w:pPr>
              <w:pStyle w:val="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（证明材料为：合同或中标通知书）</w:t>
            </w:r>
          </w:p>
          <w:p>
            <w:pPr>
              <w:pStyle w:val="3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FFFFFF"/>
              </w:rPr>
              <w:t>2、成为本次项目中标的服务商签定合同后接院方服务需求通知起，10个工作日完成包括污泥清掏、干化及危险废物收集、转运、处置，得15分。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（提供履约承诺函.服务中未按时履约采购方可按无履约能力处理）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7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总分</w:t>
            </w:r>
          </w:p>
        </w:tc>
        <w:tc>
          <w:tcPr>
            <w:tcW w:w="7973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100分（说明：供应商失信行为记入诚信档案且在有效期内的扣10分/次予以惩戒，供应商失信行为惩戒实行无限制累加制，直到总分100分扣完为止或做无效处理）。</w:t>
            </w:r>
          </w:p>
        </w:tc>
      </w:tr>
    </w:tbl>
    <w:p>
      <w:pPr>
        <w:pStyle w:val="5"/>
        <w:widowControl/>
        <w:shd w:val="clear" w:color="auto" w:fill="FFFFFF"/>
        <w:spacing w:beforeAutospacing="0" w:after="90" w:afterAutospacing="0" w:line="420" w:lineRule="exact"/>
        <w:ind w:firstLine="480" w:firstLineChars="200"/>
        <w:jc w:val="both"/>
        <w:rPr>
          <w:rFonts w:asciiTheme="minorEastAsia" w:hAnsiTheme="minorEastAsia" w:cstheme="minorEastAsia"/>
          <w:shd w:val="clear" w:color="auto" w:fill="FFFFFF"/>
        </w:rPr>
      </w:pPr>
    </w:p>
    <w:p>
      <w:pPr>
        <w:ind w:firstLine="723" w:firstLineChars="300"/>
        <w:rPr>
          <w:b/>
          <w:bCs/>
          <w:sz w:val="24"/>
          <w:shd w:val="clear" w:color="auto" w:fill="FFFFFF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zNzFhMGRmMzk0NjE0NjIyMGI0MjdjOTAxZGI2NjcifQ=="/>
  </w:docVars>
  <w:rsids>
    <w:rsidRoot w:val="00373D1B"/>
    <w:rsid w:val="000B3DF3"/>
    <w:rsid w:val="000E4F67"/>
    <w:rsid w:val="001970BD"/>
    <w:rsid w:val="001D2C67"/>
    <w:rsid w:val="001E5A01"/>
    <w:rsid w:val="001F6409"/>
    <w:rsid w:val="002E100B"/>
    <w:rsid w:val="00373D1B"/>
    <w:rsid w:val="00437CB1"/>
    <w:rsid w:val="00481DE9"/>
    <w:rsid w:val="0048223B"/>
    <w:rsid w:val="00831861"/>
    <w:rsid w:val="0098439E"/>
    <w:rsid w:val="00AF28D0"/>
    <w:rsid w:val="00B655E2"/>
    <w:rsid w:val="00C40FD9"/>
    <w:rsid w:val="00C64FE1"/>
    <w:rsid w:val="00D56AAC"/>
    <w:rsid w:val="00FE7E60"/>
    <w:rsid w:val="0F62761F"/>
    <w:rsid w:val="27027A96"/>
    <w:rsid w:val="6A04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spacing w:line="276" w:lineRule="auto"/>
      <w:jc w:val="left"/>
    </w:pPr>
    <w:rPr>
      <w:color w:val="FF0000"/>
      <w:szCs w:val="21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标题 3 Char"/>
    <w:basedOn w:val="7"/>
    <w:link w:val="2"/>
    <w:semiHidden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9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1819</Words>
  <Characters>1955</Characters>
  <Lines>15</Lines>
  <Paragraphs>4</Paragraphs>
  <TotalTime>0</TotalTime>
  <ScaleCrop>false</ScaleCrop>
  <LinksUpToDate>false</LinksUpToDate>
  <CharactersWithSpaces>1993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2022-06-23T03:29:00Z</dcterms:created>
  <dc:creator>xbany</dc:creator>
  <cp:lastModifiedBy>姐。是未成年</cp:lastModifiedBy>
  <cp:lastPrinted>2022-06-23T08:54:00Z</cp:lastPrinted>
  <dcterms:modified xsi:type="dcterms:W3CDTF">2022-06-27T08:39:43Z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015B0195CE6548C6AADB46D99DB3B1D9</vt:lpwstr>
  </property>
</Properties>
</file>