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方正黑体_GBK" w:hAnsi="方正黑体_GBK" w:eastAsia="方正黑体_GBK" w:cs="方正黑体_GBK"/>
          <w:b/>
          <w:bCs/>
          <w:i w:val="0"/>
          <w:iCs w:val="0"/>
          <w:caps w:val="0"/>
          <w:color w:val="000000"/>
          <w:spacing w:val="0"/>
          <w:kern w:val="0"/>
          <w:sz w:val="32"/>
          <w:szCs w:val="32"/>
          <w:shd w:val="clear" w:color="auto" w:fill="FFFFFF"/>
          <w:lang w:val="en-US" w:eastAsia="zh-CN" w:bidi="ar"/>
        </w:rPr>
      </w:pPr>
      <w:bookmarkStart w:id="0" w:name="_GoBack"/>
      <w:r>
        <w:rPr>
          <w:rFonts w:hint="eastAsia" w:ascii="方正黑体_GBK" w:hAnsi="方正黑体_GBK" w:eastAsia="方正黑体_GBK" w:cs="方正黑体_GBK"/>
          <w:b/>
          <w:bCs/>
          <w:i w:val="0"/>
          <w:iCs w:val="0"/>
          <w:caps w:val="0"/>
          <w:color w:val="000000"/>
          <w:spacing w:val="0"/>
          <w:kern w:val="0"/>
          <w:sz w:val="32"/>
          <w:szCs w:val="32"/>
          <w:shd w:val="clear" w:color="auto" w:fill="FFFFFF"/>
          <w:lang w:val="en-US" w:eastAsia="zh-CN" w:bidi="ar"/>
        </w:rPr>
        <w:t>附件3：综合评分表</w:t>
      </w:r>
    </w:p>
    <w:bookmarkEnd w:id="0"/>
    <w:tbl>
      <w:tblPr>
        <w:tblStyle w:val="7"/>
        <w:tblpPr w:leftFromText="180" w:rightFromText="180" w:vertAnchor="text" w:horzAnchor="page" w:tblpX="1794" w:tblpY="600"/>
        <w:tblOverlap w:val="never"/>
        <w:tblW w:w="88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0"/>
        <w:gridCol w:w="740"/>
        <w:gridCol w:w="6135"/>
        <w:gridCol w:w="8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93" w:hRule="atLeast"/>
        </w:trPr>
        <w:tc>
          <w:tcPr>
            <w:tcW w:w="1140" w:type="dxa"/>
            <w:noWrap w:val="0"/>
            <w:vAlign w:val="center"/>
          </w:tcPr>
          <w:p>
            <w:pPr>
              <w:jc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评分因素</w:t>
            </w:r>
          </w:p>
        </w:tc>
        <w:tc>
          <w:tcPr>
            <w:tcW w:w="740" w:type="dxa"/>
            <w:noWrap w:val="0"/>
            <w:vAlign w:val="center"/>
          </w:tcPr>
          <w:p>
            <w:pPr>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分值</w:t>
            </w:r>
          </w:p>
        </w:tc>
        <w:tc>
          <w:tcPr>
            <w:tcW w:w="6135" w:type="dxa"/>
            <w:noWrap w:val="0"/>
            <w:vAlign w:val="center"/>
          </w:tcPr>
          <w:p>
            <w:pPr>
              <w:jc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评分标准</w:t>
            </w:r>
          </w:p>
        </w:tc>
        <w:tc>
          <w:tcPr>
            <w:tcW w:w="825" w:type="dxa"/>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29" w:hRule="atLeast"/>
        </w:trPr>
        <w:tc>
          <w:tcPr>
            <w:tcW w:w="1140" w:type="dxa"/>
            <w:noWrap w:val="0"/>
            <w:vAlign w:val="center"/>
          </w:tcPr>
          <w:p>
            <w:pPr>
              <w:jc w:val="center"/>
              <w:rPr>
                <w:rFonts w:hint="eastAsia" w:ascii="仿宋" w:hAnsi="仿宋" w:eastAsia="仿宋" w:cs="仿宋"/>
                <w:color w:val="000000"/>
                <w:sz w:val="24"/>
                <w:szCs w:val="24"/>
              </w:rPr>
            </w:pPr>
          </w:p>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报价</w:t>
            </w:r>
          </w:p>
        </w:tc>
        <w:tc>
          <w:tcPr>
            <w:tcW w:w="740" w:type="dxa"/>
            <w:noWrap w:val="0"/>
            <w:vAlign w:val="center"/>
          </w:tcPr>
          <w:p>
            <w:pPr>
              <w:jc w:val="center"/>
              <w:rPr>
                <w:rFonts w:hint="eastAsia" w:ascii="仿宋" w:hAnsi="仿宋" w:eastAsia="仿宋" w:cs="仿宋"/>
                <w:color w:val="000000"/>
                <w:sz w:val="24"/>
                <w:szCs w:val="24"/>
              </w:rPr>
            </w:pPr>
          </w:p>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30</w:t>
            </w:r>
          </w:p>
        </w:tc>
        <w:tc>
          <w:tcPr>
            <w:tcW w:w="6135" w:type="dxa"/>
            <w:noWrap w:val="0"/>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以满足本次采购文件要求且最后报价下浮比例最高的供应商的价格为基准价，其价格分为满分。其他供应商的价格分统一按照下列公式计算：</w:t>
            </w:r>
          </w:p>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报价得分=（1-基准价）／（1-供应商报价）×30×100%</w:t>
            </w:r>
          </w:p>
        </w:tc>
        <w:tc>
          <w:tcPr>
            <w:tcW w:w="825" w:type="dxa"/>
            <w:noWrap w:val="0"/>
            <w:vAlign w:val="center"/>
          </w:tcPr>
          <w:p>
            <w:pPr>
              <w:jc w:val="center"/>
              <w:rPr>
                <w:rFonts w:hint="eastAsia" w:ascii="仿宋" w:hAnsi="仿宋" w:eastAsia="仿宋" w:cs="仿宋"/>
                <w:color w:val="000000"/>
                <w:sz w:val="30"/>
                <w:szCs w:val="3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29" w:hRule="atLeast"/>
        </w:trPr>
        <w:tc>
          <w:tcPr>
            <w:tcW w:w="1140" w:type="dxa"/>
            <w:noWrap w:val="0"/>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品种质量技术</w:t>
            </w:r>
          </w:p>
        </w:tc>
        <w:tc>
          <w:tcPr>
            <w:tcW w:w="740" w:type="dxa"/>
            <w:noWrap w:val="0"/>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18</w:t>
            </w:r>
          </w:p>
        </w:tc>
        <w:tc>
          <w:tcPr>
            <w:tcW w:w="6135" w:type="dxa"/>
            <w:noWrap w:val="0"/>
            <w:vAlign w:val="center"/>
          </w:tcPr>
          <w:p>
            <w:pPr>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提供产品品种（见原辅料清单9个品种）的相关资质，每提供一个品种注册证书复印件得2分，本项最高得18分。</w:t>
            </w:r>
          </w:p>
        </w:tc>
        <w:tc>
          <w:tcPr>
            <w:tcW w:w="825" w:type="dxa"/>
            <w:noWrap w:val="0"/>
            <w:vAlign w:val="center"/>
          </w:tcPr>
          <w:p>
            <w:pPr>
              <w:jc w:val="center"/>
              <w:rPr>
                <w:rFonts w:hint="eastAsia" w:ascii="仿宋" w:hAnsi="仿宋" w:eastAsia="仿宋" w:cs="仿宋"/>
                <w:color w:val="000000"/>
                <w:sz w:val="30"/>
                <w:szCs w:val="3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736" w:hRule="atLeast"/>
        </w:trPr>
        <w:tc>
          <w:tcPr>
            <w:tcW w:w="1140" w:type="dxa"/>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配送方案</w:t>
            </w:r>
          </w:p>
        </w:tc>
        <w:tc>
          <w:tcPr>
            <w:tcW w:w="740" w:type="dxa"/>
            <w:noWrap w:val="0"/>
            <w:vAlign w:val="center"/>
          </w:tcPr>
          <w:p>
            <w:pPr>
              <w:jc w:val="center"/>
              <w:rPr>
                <w:rFonts w:hint="eastAsia" w:ascii="仿宋" w:hAnsi="仿宋" w:eastAsia="仿宋" w:cs="仿宋"/>
                <w:color w:val="000000"/>
                <w:sz w:val="24"/>
                <w:szCs w:val="24"/>
              </w:rPr>
            </w:pPr>
          </w:p>
          <w:p>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30</w:t>
            </w:r>
          </w:p>
        </w:tc>
        <w:tc>
          <w:tcPr>
            <w:tcW w:w="6135" w:type="dxa"/>
            <w:noWrap w:val="0"/>
            <w:vAlign w:val="top"/>
          </w:tcPr>
          <w:p>
            <w:pPr>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根据投标人提供的配送服务方案包括但不限于供货的及时性，9个品类配送的完整性，准确性保障措施，物流配送能力，应急送货方案，进行综合评价：</w:t>
            </w:r>
          </w:p>
          <w:p>
            <w:pPr>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配送服务方案详细，内容齐全丰富，完全满足用户需求的，得分21～30分；</w:t>
            </w:r>
          </w:p>
          <w:p>
            <w:pPr>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配送服务方案内容齐全，基本满足需求的，得11～20分；</w:t>
            </w:r>
          </w:p>
          <w:p>
            <w:pPr>
              <w:jc w:val="both"/>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配送服务方案简单笼统，不能完全满足用户需求的，得0～10分。</w:t>
            </w:r>
          </w:p>
        </w:tc>
        <w:tc>
          <w:tcPr>
            <w:tcW w:w="825" w:type="dxa"/>
            <w:noWrap w:val="0"/>
            <w:vAlign w:val="center"/>
          </w:tcPr>
          <w:p>
            <w:pPr>
              <w:jc w:val="center"/>
              <w:rPr>
                <w:rFonts w:hint="eastAsia" w:ascii="仿宋" w:hAnsi="仿宋" w:eastAsia="仿宋" w:cs="仿宋"/>
                <w:color w:val="00000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88" w:hRule="atLeast"/>
        </w:trPr>
        <w:tc>
          <w:tcPr>
            <w:tcW w:w="1140" w:type="dxa"/>
            <w:noWrap w:val="0"/>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售后服务</w:t>
            </w:r>
          </w:p>
        </w:tc>
        <w:tc>
          <w:tcPr>
            <w:tcW w:w="740" w:type="dxa"/>
            <w:noWrap w:val="0"/>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w:t>
            </w:r>
          </w:p>
        </w:tc>
        <w:tc>
          <w:tcPr>
            <w:tcW w:w="6135" w:type="dxa"/>
            <w:noWrap w:val="0"/>
            <w:vAlign w:val="center"/>
          </w:tcPr>
          <w:p>
            <w:pPr>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根据投标人提供的售后服务方案（包括但不限于供货时效说明、退换货渠道、本地化服务、应急预案、配送保障方案）进行横向比较综合评价：</w:t>
            </w:r>
          </w:p>
          <w:p>
            <w:pPr>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供货时效较采购文件要求更为优异、退换货渠道畅通、能提供本地化服务、应急预案切合实际、配保障方案切实可行能保障采购方业务正常开展：20分</w:t>
            </w:r>
          </w:p>
          <w:p>
            <w:pPr>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供货时效能满足采购文件要求、有退换货渠道、能提供本地化服务、应急预案基本切合实际、配送保障方案基本切实可行：10分</w:t>
            </w:r>
          </w:p>
          <w:p>
            <w:pPr>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供货时效能满足采购文件要求、有退换货渠道、不能提供本地化服务、应急预案勉强切合实际、配送保障方案勉强切实可行：5分</w:t>
            </w:r>
          </w:p>
          <w:p>
            <w:pPr>
              <w:jc w:val="lef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未提供售后服务方案：0 分</w:t>
            </w:r>
          </w:p>
          <w:p>
            <w:pPr>
              <w:jc w:val="center"/>
              <w:rPr>
                <w:rFonts w:hint="eastAsia" w:ascii="仿宋" w:hAnsi="仿宋" w:eastAsia="仿宋" w:cs="仿宋"/>
                <w:color w:val="000000"/>
                <w:sz w:val="24"/>
                <w:szCs w:val="24"/>
                <w:lang w:val="en-US" w:eastAsia="zh-CN"/>
              </w:rPr>
            </w:pPr>
          </w:p>
        </w:tc>
        <w:tc>
          <w:tcPr>
            <w:tcW w:w="825" w:type="dxa"/>
            <w:noWrap w:val="0"/>
            <w:vAlign w:val="center"/>
          </w:tcPr>
          <w:p>
            <w:pPr>
              <w:jc w:val="center"/>
              <w:rPr>
                <w:rFonts w:hint="eastAsia" w:ascii="仿宋" w:hAnsi="仿宋" w:eastAsia="仿宋" w:cs="仿宋"/>
                <w:color w:val="00000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71" w:hRule="atLeast"/>
        </w:trPr>
        <w:tc>
          <w:tcPr>
            <w:tcW w:w="1140" w:type="dxa"/>
            <w:noWrap w:val="0"/>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投标</w:t>
            </w:r>
            <w:r>
              <w:rPr>
                <w:rFonts w:hint="eastAsia" w:ascii="仿宋" w:hAnsi="仿宋" w:eastAsia="仿宋" w:cs="仿宋"/>
                <w:color w:val="000000"/>
                <w:sz w:val="24"/>
                <w:szCs w:val="24"/>
              </w:rPr>
              <w:t>文件规范性</w:t>
            </w:r>
          </w:p>
        </w:tc>
        <w:tc>
          <w:tcPr>
            <w:tcW w:w="740" w:type="dxa"/>
            <w:noWrap w:val="0"/>
            <w:vAlign w:val="center"/>
          </w:tcPr>
          <w:p>
            <w:pPr>
              <w:jc w:val="center"/>
              <w:rPr>
                <w:rFonts w:hint="eastAsia" w:ascii="仿宋" w:hAnsi="仿宋" w:eastAsia="仿宋" w:cs="仿宋"/>
                <w:color w:val="000000"/>
                <w:sz w:val="24"/>
                <w:szCs w:val="24"/>
              </w:rPr>
            </w:pPr>
          </w:p>
          <w:p>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w:t>
            </w:r>
          </w:p>
        </w:tc>
        <w:tc>
          <w:tcPr>
            <w:tcW w:w="6135" w:type="dxa"/>
            <w:noWrap w:val="0"/>
            <w:vAlign w:val="center"/>
          </w:tcPr>
          <w:p>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必须按文件制作规范，没有细微偏差情形的得</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分，有细微偏差</w:t>
            </w:r>
            <w:r>
              <w:rPr>
                <w:rFonts w:hint="eastAsia" w:ascii="仿宋" w:hAnsi="仿宋" w:eastAsia="仿宋" w:cs="仿宋"/>
                <w:color w:val="000000"/>
                <w:sz w:val="24"/>
                <w:szCs w:val="24"/>
                <w:lang w:eastAsia="zh-CN"/>
              </w:rPr>
              <w:t>的不得分</w:t>
            </w:r>
            <w:r>
              <w:rPr>
                <w:rFonts w:hint="eastAsia" w:ascii="仿宋" w:hAnsi="仿宋" w:eastAsia="仿宋" w:cs="仿宋"/>
                <w:color w:val="000000"/>
                <w:sz w:val="24"/>
                <w:szCs w:val="24"/>
              </w:rPr>
              <w:t>。</w:t>
            </w:r>
          </w:p>
        </w:tc>
        <w:tc>
          <w:tcPr>
            <w:tcW w:w="825" w:type="dxa"/>
            <w:noWrap w:val="0"/>
            <w:vAlign w:val="center"/>
          </w:tcPr>
          <w:p>
            <w:pPr>
              <w:jc w:val="center"/>
              <w:rPr>
                <w:rFonts w:hint="eastAsia" w:ascii="仿宋" w:hAnsi="仿宋" w:eastAsia="仿宋" w:cs="仿宋"/>
                <w:color w:val="000000"/>
                <w:sz w:val="30"/>
                <w:szCs w:val="30"/>
              </w:rPr>
            </w:pPr>
          </w:p>
        </w:tc>
      </w:tr>
    </w:tbl>
    <w:p>
      <w:r>
        <w:rPr>
          <w:rFonts w:hint="eastAsia" w:ascii="宋体" w:hAnsi="宋体" w:eastAsia="宋体" w:cs="宋体"/>
          <w:b/>
          <w:bCs/>
          <w:color w:val="000000"/>
          <w:spacing w:val="6"/>
          <w:sz w:val="24"/>
          <w:szCs w:val="24"/>
          <w:lang w:val="en-US" w:eastAsia="zh-CN"/>
        </w:rPr>
        <w:t>注： 评分的取值按四舍五入法，保留小数点后两位。</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0MTcwNjM5ZjFmZTU0NjRmOGU5MmFjNTcyODRhZjMifQ=="/>
  </w:docVars>
  <w:rsids>
    <w:rsidRoot w:val="09E35517"/>
    <w:rsid w:val="09E35517"/>
    <w:rsid w:val="33C90C05"/>
    <w:rsid w:val="4D555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首行缩进 21"/>
    <w:basedOn w:val="3"/>
    <w:qFormat/>
    <w:uiPriority w:val="0"/>
    <w:pPr>
      <w:ind w:firstLine="420"/>
    </w:pPr>
  </w:style>
  <w:style w:type="paragraph" w:customStyle="1" w:styleId="3">
    <w:name w:val="Body Text Indent1"/>
    <w:basedOn w:val="1"/>
    <w:qFormat/>
    <w:uiPriority w:val="0"/>
    <w:pPr>
      <w:ind w:left="420" w:leftChars="200"/>
    </w:p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2024-07-16T06:45:00Z</dcterms:created>
  <dc:creator>pursue</dc:creator>
  <cp:lastModifiedBy>pursue</cp:lastModifiedBy>
  <dcterms:modified xsi:type="dcterms:W3CDTF">2024-07-16T06:47:20Z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975F86D96B154C1288AF8E80E0066E08_13</vt:lpwstr>
  </property>
</Properties>
</file>