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default" w:ascii="宋体" w:hAnsi="宋体" w:eastAsia="宋体" w:cs="宋体"/>
          <w:b/>
          <w:sz w:val="28"/>
          <w:szCs w:val="36"/>
          <w:highlight w:val="none"/>
          <w:lang w:val="en-US" w:eastAsia="zh-CN"/>
        </w:rPr>
      </w:pPr>
      <w:r>
        <w:rPr>
          <w:rFonts w:hint="eastAsia" w:ascii="宋体" w:hAnsi="宋体" w:cs="宋体"/>
          <w:b/>
          <w:sz w:val="28"/>
          <w:szCs w:val="36"/>
          <w:highlight w:val="none"/>
          <w:lang w:val="en-US" w:eastAsia="zh-CN"/>
        </w:rPr>
        <w:t>采购需求</w:t>
      </w:r>
    </w:p>
    <w:p>
      <w:pPr>
        <w:pStyle w:val="2"/>
        <w:numPr>
          <w:ilvl w:val="0"/>
          <w:numId w:val="1"/>
        </w:numPr>
        <w:spacing w:line="360" w:lineRule="auto"/>
        <w:outlineLvl w:val="1"/>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lang w:eastAsia="zh-CN"/>
        </w:rPr>
        <w:t>项目概述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lang w:eastAsia="zh-CN"/>
        </w:rPr>
      </w:pPr>
      <w:r>
        <w:rPr>
          <w:rFonts w:hint="eastAsia"/>
          <w:sz w:val="24"/>
          <w:szCs w:val="24"/>
          <w:highlight w:val="none"/>
          <w:lang w:eastAsia="zh-CN"/>
        </w:rPr>
        <w:t>为满足我院日常医疗工作需要，特开展本次</w:t>
      </w:r>
      <w:r>
        <w:rPr>
          <w:rFonts w:hint="eastAsia"/>
          <w:sz w:val="24"/>
          <w:szCs w:val="24"/>
          <w:highlight w:val="none"/>
          <w:lang w:val="en-US" w:eastAsia="zh-CN"/>
        </w:rPr>
        <w:t>护理</w:t>
      </w:r>
      <w:r>
        <w:rPr>
          <w:rFonts w:hint="eastAsia"/>
          <w:sz w:val="24"/>
          <w:szCs w:val="24"/>
          <w:highlight w:val="none"/>
          <w:lang w:eastAsia="zh-CN"/>
        </w:rPr>
        <w:t>医用耗材配送服务采购。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lang w:val="en-US" w:eastAsia="zh-CN"/>
        </w:rPr>
      </w:pPr>
      <w:r>
        <w:rPr>
          <w:rFonts w:hint="eastAsia"/>
          <w:sz w:val="24"/>
          <w:szCs w:val="24"/>
          <w:highlight w:val="none"/>
          <w:lang w:val="en-US" w:eastAsia="zh-CN"/>
        </w:rPr>
        <w:t>本次采购4个包，每个包采购1家供应商提供配送服务。</w:t>
      </w:r>
    </w:p>
    <w:p>
      <w:pPr>
        <w:pStyle w:val="3"/>
        <w:numPr>
          <w:ilvl w:val="0"/>
          <w:numId w:val="1"/>
        </w:numPr>
        <w:spacing w:line="360" w:lineRule="auto"/>
        <w:ind w:left="0" w:leftChars="0" w:firstLine="0" w:firstLineChars="0"/>
        <w:jc w:val="both"/>
        <w:outlineLvl w:val="1"/>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服务内容及要求</w:t>
      </w:r>
      <w:r>
        <w:rPr>
          <w:rFonts w:hint="eastAsia" w:ascii="宋体" w:hAnsi="宋体" w:eastAsia="宋体" w:cs="宋体"/>
          <w:b/>
          <w:sz w:val="28"/>
          <w:szCs w:val="28"/>
          <w:highlight w:val="none"/>
          <w:lang w:eastAsia="zh-CN"/>
        </w:rPr>
        <w:t>（实质性要求）</w:t>
      </w:r>
    </w:p>
    <w:p>
      <w:pPr>
        <w:rPr>
          <w:rFonts w:hint="eastAsia"/>
          <w:sz w:val="24"/>
          <w:szCs w:val="24"/>
          <w:highlight w:val="none"/>
        </w:rPr>
      </w:pP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lang w:eastAsia="zh-CN"/>
        </w:rPr>
        <w:t>配送清单</w:t>
      </w:r>
    </w:p>
    <w:p>
      <w:pP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eastAsia="zh-CN"/>
        </w:rPr>
        <w:t>采购包</w:t>
      </w:r>
      <w:r>
        <w:rPr>
          <w:rFonts w:hint="eastAsia" w:ascii="宋体" w:hAnsi="宋体" w:eastAsia="宋体" w:cs="Times New Roman"/>
          <w:sz w:val="24"/>
          <w:szCs w:val="24"/>
          <w:highlight w:val="none"/>
          <w:lang w:val="en-US" w:eastAsia="zh-CN"/>
        </w:rPr>
        <w:t>1：</w:t>
      </w:r>
    </w:p>
    <w:tbl>
      <w:tblPr>
        <w:tblStyle w:val="6"/>
        <w:tblW w:w="83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9"/>
        <w:gridCol w:w="1765"/>
        <w:gridCol w:w="2596"/>
        <w:gridCol w:w="679"/>
        <w:gridCol w:w="883"/>
        <w:gridCol w:w="1217"/>
        <w:gridCol w:w="5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产品名称</w:t>
            </w:r>
          </w:p>
        </w:tc>
        <w:tc>
          <w:tcPr>
            <w:tcW w:w="2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规格及要求</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控制单价（元）</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所投产品是否为四川药品和医用耗材招采管理系统挂网产品</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婴儿集尿袋</w:t>
            </w:r>
          </w:p>
        </w:tc>
        <w:tc>
          <w:tcPr>
            <w:tcW w:w="2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100ml</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中药熏洗袋</w:t>
            </w:r>
          </w:p>
        </w:tc>
        <w:tc>
          <w:tcPr>
            <w:tcW w:w="2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16*21</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病理标本袋1</w:t>
            </w:r>
          </w:p>
        </w:tc>
        <w:tc>
          <w:tcPr>
            <w:tcW w:w="2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小号带标签</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0.74</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病理标本袋2</w:t>
            </w:r>
          </w:p>
        </w:tc>
        <w:tc>
          <w:tcPr>
            <w:tcW w:w="2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大号带标签</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医用创口贴</w:t>
            </w:r>
          </w:p>
        </w:tc>
        <w:tc>
          <w:tcPr>
            <w:tcW w:w="2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长条形70mm*18mm，96片/盒</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创口贴（臭氧治疗用）</w:t>
            </w:r>
          </w:p>
        </w:tc>
        <w:tc>
          <w:tcPr>
            <w:tcW w:w="2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小圆形，直径22mm</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0.15</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复合季铵盐湿巾纸</w:t>
            </w:r>
          </w:p>
        </w:tc>
        <w:tc>
          <w:tcPr>
            <w:tcW w:w="2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40片/包</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金属气切导管</w:t>
            </w:r>
          </w:p>
        </w:tc>
        <w:tc>
          <w:tcPr>
            <w:tcW w:w="2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8号、9号、10号</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艾绒</w:t>
            </w:r>
          </w:p>
        </w:tc>
        <w:tc>
          <w:tcPr>
            <w:tcW w:w="2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250g/包</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陈艾条（纯艾条）</w:t>
            </w:r>
          </w:p>
        </w:tc>
        <w:tc>
          <w:tcPr>
            <w:tcW w:w="2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7cm*20cm</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艾绒比20：1</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理疗电极片</w:t>
            </w:r>
          </w:p>
        </w:tc>
        <w:tc>
          <w:tcPr>
            <w:tcW w:w="2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50mmx50mm；</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适用设备：低频脉冲治疗仪</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一次性换药盘</w:t>
            </w:r>
          </w:p>
        </w:tc>
        <w:tc>
          <w:tcPr>
            <w:tcW w:w="2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大号</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0.34</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2%葡萄糖酸氯己定醇皮肤消毒液</w:t>
            </w:r>
          </w:p>
        </w:tc>
        <w:tc>
          <w:tcPr>
            <w:tcW w:w="2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60ml</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一次性理疗电极片</w:t>
            </w:r>
          </w:p>
        </w:tc>
        <w:tc>
          <w:tcPr>
            <w:tcW w:w="2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矩形40mm*40mm；</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适用设备：渡康经颅超声电疗仪</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一次性医用帽</w:t>
            </w:r>
          </w:p>
        </w:tc>
        <w:tc>
          <w:tcPr>
            <w:tcW w:w="2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C型圆帽</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0.35</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bl>
    <w:p>
      <w:pPr>
        <w:rPr>
          <w:rFonts w:hint="eastAsia" w:ascii="宋体" w:hAnsi="宋体" w:eastAsia="宋体" w:cs="Times New Roman"/>
          <w:sz w:val="24"/>
          <w:szCs w:val="24"/>
          <w:highlight w:val="none"/>
          <w:lang w:val="en-US" w:eastAsia="zh-CN"/>
        </w:rPr>
      </w:pPr>
    </w:p>
    <w:p>
      <w:pP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eastAsia="zh-CN"/>
        </w:rPr>
        <w:t>采购包</w:t>
      </w:r>
      <w:r>
        <w:rPr>
          <w:rFonts w:hint="eastAsia" w:ascii="宋体" w:hAnsi="宋体" w:eastAsia="宋体" w:cs="Times New Roman"/>
          <w:sz w:val="24"/>
          <w:szCs w:val="24"/>
          <w:highlight w:val="none"/>
          <w:lang w:val="en-US" w:eastAsia="zh-CN"/>
        </w:rPr>
        <w:t>2：</w:t>
      </w:r>
    </w:p>
    <w:tbl>
      <w:tblPr>
        <w:tblStyle w:val="6"/>
        <w:tblW w:w="82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3"/>
        <w:gridCol w:w="1768"/>
        <w:gridCol w:w="2557"/>
        <w:gridCol w:w="726"/>
        <w:gridCol w:w="867"/>
        <w:gridCol w:w="1233"/>
        <w:gridCol w:w="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产品名称</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ind w:leftChars="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规格及要求</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控制单价（元）</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所投产品是否为四川药品和医用耗材招采管理系统挂网产品</w:t>
            </w:r>
          </w:p>
        </w:tc>
        <w:tc>
          <w:tcPr>
            <w:tcW w:w="5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电脑打印标签专用碳带</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
              </w:numPr>
              <w:suppressLineNumbers w:val="0"/>
              <w:ind w:left="425" w:leftChars="0" w:hanging="425"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90mm*300m；</w:t>
            </w:r>
          </w:p>
          <w:p>
            <w:pPr>
              <w:keepNext w:val="0"/>
              <w:keepLines w:val="0"/>
              <w:widowControl/>
              <w:numPr>
                <w:ilvl w:val="0"/>
                <w:numId w:val="2"/>
              </w:numPr>
              <w:suppressLineNumbers w:val="0"/>
              <w:ind w:left="425" w:leftChars="0" w:hanging="425"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适用设备：新华追溯打印机</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封口测试纸1</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
              </w:numPr>
              <w:suppressLineNumbers w:val="0"/>
              <w:ind w:left="425" w:leftChars="0" w:hanging="425"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100片/盒-高温覆膜；</w:t>
            </w:r>
          </w:p>
          <w:p>
            <w:pPr>
              <w:keepNext w:val="0"/>
              <w:keepLines w:val="0"/>
              <w:widowControl/>
              <w:numPr>
                <w:ilvl w:val="0"/>
                <w:numId w:val="3"/>
              </w:numPr>
              <w:suppressLineNumbers w:val="0"/>
              <w:ind w:left="425" w:leftChars="0" w:hanging="425"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适用设备：新华封口机</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270</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封口测试纸2</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
              </w:numPr>
              <w:suppressLineNumbers w:val="0"/>
              <w:ind w:left="425" w:leftChars="0" w:hanging="425"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100片/盒-低温覆膜；</w:t>
            </w:r>
          </w:p>
          <w:p>
            <w:pPr>
              <w:keepNext w:val="0"/>
              <w:keepLines w:val="0"/>
              <w:widowControl/>
              <w:numPr>
                <w:ilvl w:val="0"/>
                <w:numId w:val="4"/>
              </w:numPr>
              <w:suppressLineNumbers w:val="0"/>
              <w:ind w:left="425" w:leftChars="0" w:hanging="425"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适用设备：新华封口机</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345</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压力蒸汽灭菌化学指示标签</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5"/>
              </w:numPr>
              <w:suppressLineNumbers w:val="0"/>
              <w:ind w:left="425" w:leftChars="0" w:hanging="425"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600片/卷；</w:t>
            </w:r>
          </w:p>
          <w:p>
            <w:pPr>
              <w:keepNext w:val="0"/>
              <w:keepLines w:val="0"/>
              <w:widowControl/>
              <w:numPr>
                <w:ilvl w:val="0"/>
                <w:numId w:val="5"/>
              </w:numPr>
              <w:suppressLineNumbers w:val="0"/>
              <w:ind w:left="425" w:leftChars="0" w:hanging="425"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适用设备：新华压力蒸汽灭菌器</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165</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压力蒸汽灭菌1小时极速生物指示剂</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6"/>
              </w:numPr>
              <w:suppressLineNumbers w:val="0"/>
              <w:ind w:left="425" w:leftChars="0" w:hanging="425"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适用设备：新华压力蒸汽灭菌器</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过氧化氢低温等离子体灭菌过程指示标签</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7"/>
              </w:numPr>
              <w:suppressLineNumbers w:val="0"/>
              <w:ind w:left="425" w:leftChars="0" w:hanging="425"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400片/卷；</w:t>
            </w:r>
          </w:p>
          <w:p>
            <w:pPr>
              <w:keepNext w:val="0"/>
              <w:keepLines w:val="0"/>
              <w:widowControl/>
              <w:numPr>
                <w:ilvl w:val="0"/>
                <w:numId w:val="7"/>
              </w:numPr>
              <w:suppressLineNumbers w:val="0"/>
              <w:ind w:left="425" w:leftChars="0" w:hanging="425"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适用设备：新华过氧化氢低温等离子体灭菌器</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245</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过氧化氢低温等离子体灭菌包装袋</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8"/>
              </w:numPr>
              <w:suppressLineNumbers w:val="0"/>
              <w:ind w:left="425" w:leftChars="0" w:hanging="425"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150mm*100m平面；</w:t>
            </w:r>
          </w:p>
          <w:p>
            <w:pPr>
              <w:keepNext w:val="0"/>
              <w:keepLines w:val="0"/>
              <w:widowControl/>
              <w:numPr>
                <w:ilvl w:val="0"/>
                <w:numId w:val="8"/>
              </w:numPr>
              <w:suppressLineNumbers w:val="0"/>
              <w:ind w:left="425" w:leftChars="0" w:hanging="425"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适用设备：新华过氧化氢低温等离子体灭菌器</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700</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过氧化氢低温等离子体灭菌1小时极速生物指示剂</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9"/>
              </w:numPr>
              <w:suppressLineNumbers w:val="0"/>
              <w:ind w:left="425" w:leftChars="0" w:hanging="425"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适用设备：新华过氧化氢低温等离子体灭菌器</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低温蒸汽甲醛1小时极速生物指示剂</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0"/>
              </w:numPr>
              <w:suppressLineNumbers w:val="0"/>
              <w:ind w:left="425" w:leftChars="0" w:hanging="425"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适用设备：新华甲醛生物阅读器</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甲醛灭菌器专用甲醛灭菌剂</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1"/>
              </w:numPr>
              <w:suppressLineNumbers w:val="0"/>
              <w:ind w:left="425" w:leftChars="0" w:hanging="425"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2000ml/袋；</w:t>
            </w:r>
          </w:p>
          <w:p>
            <w:pPr>
              <w:keepNext w:val="0"/>
              <w:keepLines w:val="0"/>
              <w:widowControl/>
              <w:numPr>
                <w:ilvl w:val="0"/>
                <w:numId w:val="11"/>
              </w:numPr>
              <w:suppressLineNumbers w:val="0"/>
              <w:ind w:left="425" w:leftChars="0" w:hanging="425"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适用设备：新华低温甲醛灭菌器</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低温蒸汽甲醛灭菌化学指示标签</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2"/>
              </w:numPr>
              <w:suppressLineNumbers w:val="0"/>
              <w:ind w:left="425" w:leftChars="0" w:hanging="425"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400片/卷；</w:t>
            </w:r>
          </w:p>
          <w:p>
            <w:pPr>
              <w:keepNext w:val="0"/>
              <w:keepLines w:val="0"/>
              <w:widowControl/>
              <w:numPr>
                <w:ilvl w:val="0"/>
                <w:numId w:val="12"/>
              </w:numPr>
              <w:suppressLineNumbers w:val="0"/>
              <w:ind w:left="425" w:leftChars="0" w:hanging="425"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适用设备：新华低温甲醛灭菌器</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145</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低温蒸汽甲醛灭菌化学指示胶带</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3"/>
              </w:numPr>
              <w:suppressLineNumbers w:val="0"/>
              <w:ind w:left="425" w:leftChars="0" w:hanging="425"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50米/卷；</w:t>
            </w:r>
          </w:p>
          <w:p>
            <w:pPr>
              <w:keepNext w:val="0"/>
              <w:keepLines w:val="0"/>
              <w:widowControl/>
              <w:numPr>
                <w:ilvl w:val="0"/>
                <w:numId w:val="13"/>
              </w:numPr>
              <w:suppressLineNumbers w:val="0"/>
              <w:ind w:left="425" w:leftChars="0" w:hanging="425"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适用设备：新华低温甲醛灭菌器</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低温蒸汽甲醛灭菌化学指示卡</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4"/>
              </w:numPr>
              <w:suppressLineNumbers w:val="0"/>
              <w:ind w:left="425" w:leftChars="0" w:hanging="425"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100片/瓶；</w:t>
            </w:r>
          </w:p>
          <w:p>
            <w:pPr>
              <w:keepNext w:val="0"/>
              <w:keepLines w:val="0"/>
              <w:widowControl/>
              <w:numPr>
                <w:ilvl w:val="0"/>
                <w:numId w:val="14"/>
              </w:numPr>
              <w:suppressLineNumbers w:val="0"/>
              <w:ind w:left="425" w:leftChars="0" w:hanging="425"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适用设备：新华低温甲醛灭菌器</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低温蒸汽甲醛灭菌包装袋1</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5"/>
              </w:numPr>
              <w:suppressLineNumbers w:val="0"/>
              <w:ind w:left="425" w:leftChars="0" w:hanging="425"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100mm*100m平面；</w:t>
            </w:r>
          </w:p>
          <w:p>
            <w:pPr>
              <w:keepNext w:val="0"/>
              <w:keepLines w:val="0"/>
              <w:widowControl/>
              <w:numPr>
                <w:ilvl w:val="0"/>
                <w:numId w:val="15"/>
              </w:numPr>
              <w:suppressLineNumbers w:val="0"/>
              <w:ind w:left="425" w:leftChars="0" w:hanging="425"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适用设备：新华低温甲醛灭菌器</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145</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低温蒸汽甲醛灭菌包装袋2</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6"/>
              </w:numPr>
              <w:suppressLineNumbers w:val="0"/>
              <w:ind w:left="425" w:leftChars="0" w:hanging="425"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150mm*100m平面；</w:t>
            </w:r>
          </w:p>
          <w:p>
            <w:pPr>
              <w:keepNext w:val="0"/>
              <w:keepLines w:val="0"/>
              <w:widowControl/>
              <w:numPr>
                <w:ilvl w:val="0"/>
                <w:numId w:val="16"/>
              </w:numPr>
              <w:suppressLineNumbers w:val="0"/>
              <w:ind w:left="425" w:leftChars="0" w:hanging="425"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适用设备：新华低温甲醛灭菌器</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220</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低温蒸汽甲醛灭菌包装袋1</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7"/>
              </w:numPr>
              <w:suppressLineNumbers w:val="0"/>
              <w:ind w:left="425" w:leftChars="0" w:hanging="425"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200mm* 100m平面；</w:t>
            </w:r>
          </w:p>
          <w:p>
            <w:pPr>
              <w:keepNext w:val="0"/>
              <w:keepLines w:val="0"/>
              <w:widowControl/>
              <w:numPr>
                <w:ilvl w:val="0"/>
                <w:numId w:val="17"/>
              </w:numPr>
              <w:suppressLineNumbers w:val="0"/>
              <w:ind w:left="425" w:leftChars="0" w:hanging="425"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适用设备：新华低温甲醛灭菌器</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280</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低温蒸汽甲醛灭菌包装袋2</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8"/>
              </w:numPr>
              <w:suppressLineNumbers w:val="0"/>
              <w:ind w:left="425" w:leftChars="0" w:hanging="425"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250mm*100m平面；</w:t>
            </w:r>
          </w:p>
          <w:p>
            <w:pPr>
              <w:keepNext w:val="0"/>
              <w:keepLines w:val="0"/>
              <w:widowControl/>
              <w:numPr>
                <w:ilvl w:val="0"/>
                <w:numId w:val="18"/>
              </w:numPr>
              <w:suppressLineNumbers w:val="0"/>
              <w:ind w:left="425" w:leftChars="0" w:hanging="425"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适用设备：新华低温甲醛灭菌器</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350</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医疗器械喷雾型润滑防锈剂</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9"/>
              </w:numPr>
              <w:suppressLineNumbers w:val="0"/>
              <w:ind w:left="425" w:leftChars="0" w:hanging="425"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500ml</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医用除胶剂</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0"/>
              </w:numPr>
              <w:suppressLineNumbers w:val="0"/>
              <w:ind w:left="425" w:leftChars="0" w:hanging="425"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250ml</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医疗器械除锈剂</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1"/>
              </w:numPr>
              <w:suppressLineNumbers w:val="0"/>
              <w:ind w:left="425" w:leftChars="0" w:hanging="425"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2.5L</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桶</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190</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灭菌包装无纺布1</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2"/>
              </w:numPr>
              <w:suppressLineNumbers w:val="0"/>
              <w:ind w:left="425" w:leftChars="0" w:hanging="425"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60cm*60cm；</w:t>
            </w:r>
          </w:p>
          <w:p>
            <w:pPr>
              <w:keepNext w:val="0"/>
              <w:keepLines w:val="0"/>
              <w:widowControl/>
              <w:numPr>
                <w:ilvl w:val="0"/>
                <w:numId w:val="22"/>
              </w:numPr>
              <w:suppressLineNumbers w:val="0"/>
              <w:ind w:left="425" w:leftChars="0" w:hanging="425"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适用设备：压力蒸汽灭菌器和低温灭菌设备通用</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灭菌包装无纺布2</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3"/>
              </w:numPr>
              <w:suppressLineNumbers w:val="0"/>
              <w:ind w:left="425" w:leftChars="0" w:hanging="425"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70cm*70cm；</w:t>
            </w:r>
          </w:p>
          <w:p>
            <w:pPr>
              <w:keepNext w:val="0"/>
              <w:keepLines w:val="0"/>
              <w:widowControl/>
              <w:numPr>
                <w:ilvl w:val="0"/>
                <w:numId w:val="23"/>
              </w:numPr>
              <w:suppressLineNumbers w:val="0"/>
              <w:ind w:left="425" w:leftChars="0" w:hanging="425"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适用设备：压力蒸汽灭菌器和低温灭菌设备通用</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灭菌包装无纺布3</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4"/>
              </w:numPr>
              <w:suppressLineNumbers w:val="0"/>
              <w:ind w:left="425" w:leftChars="0" w:hanging="425"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80cm*80cm；</w:t>
            </w:r>
          </w:p>
          <w:p>
            <w:pPr>
              <w:keepNext w:val="0"/>
              <w:keepLines w:val="0"/>
              <w:widowControl/>
              <w:numPr>
                <w:ilvl w:val="0"/>
                <w:numId w:val="24"/>
              </w:numPr>
              <w:suppressLineNumbers w:val="0"/>
              <w:ind w:left="425" w:leftChars="0" w:hanging="425"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适用设备：压力蒸汽灭菌器和低温灭菌设备通用</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灭菌包装无纺布4</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5"/>
              </w:numPr>
              <w:suppressLineNumbers w:val="0"/>
              <w:ind w:left="425" w:leftChars="0" w:hanging="425"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90cm*90cm；</w:t>
            </w:r>
          </w:p>
          <w:p>
            <w:pPr>
              <w:keepNext w:val="0"/>
              <w:keepLines w:val="0"/>
              <w:widowControl/>
              <w:numPr>
                <w:ilvl w:val="0"/>
                <w:numId w:val="25"/>
              </w:numPr>
              <w:suppressLineNumbers w:val="0"/>
              <w:ind w:left="425" w:leftChars="0" w:hanging="425"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适用设备：压力蒸汽灭菌器和低温灭菌设备通用</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灭菌包装无纺布5</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6"/>
              </w:numPr>
              <w:suppressLineNumbers w:val="0"/>
              <w:ind w:left="425" w:leftChars="0" w:hanging="425"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100cm* 100cm；</w:t>
            </w:r>
          </w:p>
          <w:p>
            <w:pPr>
              <w:keepNext w:val="0"/>
              <w:keepLines w:val="0"/>
              <w:widowControl/>
              <w:numPr>
                <w:ilvl w:val="0"/>
                <w:numId w:val="26"/>
              </w:numPr>
              <w:suppressLineNumbers w:val="0"/>
              <w:ind w:left="425" w:leftChars="0" w:hanging="425"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适用设备：压力蒸汽灭菌器和低温灭菌设备通用</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灭菌包装无纺布6</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7"/>
              </w:numPr>
              <w:suppressLineNumbers w:val="0"/>
              <w:ind w:left="425" w:leftChars="0" w:hanging="425"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120cm*120cm；</w:t>
            </w:r>
          </w:p>
          <w:p>
            <w:pPr>
              <w:keepNext w:val="0"/>
              <w:keepLines w:val="0"/>
              <w:widowControl/>
              <w:numPr>
                <w:ilvl w:val="0"/>
                <w:numId w:val="27"/>
              </w:numPr>
              <w:suppressLineNumbers w:val="0"/>
              <w:ind w:left="425" w:leftChars="0" w:hanging="425"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适用设备：压力蒸汽灭菌器和低温灭菌设备通用</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再生剂</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8"/>
              </w:numPr>
              <w:suppressLineNumbers w:val="0"/>
              <w:ind w:left="425" w:leftChars="0" w:hanging="425"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5Kg/袋；</w:t>
            </w:r>
          </w:p>
          <w:p>
            <w:pPr>
              <w:keepNext w:val="0"/>
              <w:keepLines w:val="0"/>
              <w:widowControl/>
              <w:numPr>
                <w:ilvl w:val="0"/>
                <w:numId w:val="28"/>
              </w:numPr>
              <w:suppressLineNumbers w:val="0"/>
              <w:ind w:left="425" w:leftChars="0" w:hanging="425"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适用设备：康辉酸性氧化电位水生成器</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电解质</w:t>
            </w:r>
          </w:p>
        </w:tc>
        <w:tc>
          <w:tcPr>
            <w:tcW w:w="25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29"/>
              </w:numPr>
              <w:suppressLineNumbers w:val="0"/>
              <w:ind w:left="425" w:leftChars="0" w:hanging="425"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1Kg/袋；</w:t>
            </w:r>
          </w:p>
          <w:p>
            <w:pPr>
              <w:keepNext w:val="0"/>
              <w:keepLines w:val="0"/>
              <w:widowControl/>
              <w:numPr>
                <w:ilvl w:val="0"/>
                <w:numId w:val="29"/>
              </w:numPr>
              <w:suppressLineNumbers w:val="0"/>
              <w:ind w:left="425" w:leftChars="0" w:hanging="425"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适用设备：康辉酸性氧化电位水生成器</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灭菌包装材料1</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0"/>
              </w:numPr>
              <w:suppressLineNumbers w:val="0"/>
              <w:ind w:left="425" w:leftChars="0" w:hanging="425"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100mm*100m平面；</w:t>
            </w:r>
          </w:p>
          <w:p>
            <w:pPr>
              <w:keepNext w:val="0"/>
              <w:keepLines w:val="0"/>
              <w:widowControl/>
              <w:numPr>
                <w:ilvl w:val="0"/>
                <w:numId w:val="30"/>
              </w:numPr>
              <w:suppressLineNumbers w:val="0"/>
              <w:ind w:left="425" w:leftChars="0" w:hanging="425"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适用设备：压力蒸汽灭菌器</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灭菌包装材料2</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1"/>
              </w:numPr>
              <w:suppressLineNumbers w:val="0"/>
              <w:ind w:left="425" w:leftChars="0" w:hanging="425"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150mm*100m平面；</w:t>
            </w:r>
          </w:p>
          <w:p>
            <w:pPr>
              <w:keepNext w:val="0"/>
              <w:keepLines w:val="0"/>
              <w:widowControl/>
              <w:numPr>
                <w:ilvl w:val="0"/>
                <w:numId w:val="31"/>
              </w:numPr>
              <w:suppressLineNumbers w:val="0"/>
              <w:ind w:left="425" w:leftChars="0" w:hanging="425"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适用设备：压力蒸汽灭菌器</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灭菌包装材料3</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2"/>
              </w:numPr>
              <w:suppressLineNumbers w:val="0"/>
              <w:ind w:left="425" w:leftChars="0" w:hanging="425"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200mm* 100m平面；</w:t>
            </w:r>
          </w:p>
          <w:p>
            <w:pPr>
              <w:keepNext w:val="0"/>
              <w:keepLines w:val="0"/>
              <w:widowControl/>
              <w:numPr>
                <w:ilvl w:val="0"/>
                <w:numId w:val="32"/>
              </w:numPr>
              <w:suppressLineNumbers w:val="0"/>
              <w:ind w:left="425" w:leftChars="0" w:hanging="425"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适用设备：压力蒸汽灭菌器</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175</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灭菌包装材料4</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3"/>
              </w:numPr>
              <w:suppressLineNumbers w:val="0"/>
              <w:ind w:left="425" w:leftChars="0" w:hanging="425"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250mm*100m平面；</w:t>
            </w:r>
          </w:p>
          <w:p>
            <w:pPr>
              <w:keepNext w:val="0"/>
              <w:keepLines w:val="0"/>
              <w:widowControl/>
              <w:numPr>
                <w:ilvl w:val="0"/>
                <w:numId w:val="33"/>
              </w:numPr>
              <w:suppressLineNumbers w:val="0"/>
              <w:ind w:left="425" w:leftChars="0" w:hanging="425"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适用设备：压力蒸汽灭菌器</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290</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医用封包胶带</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4"/>
              </w:numPr>
              <w:suppressLineNumbers w:val="0"/>
              <w:ind w:left="425" w:leftChars="0" w:hanging="425"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50米/卷；</w:t>
            </w:r>
          </w:p>
          <w:p>
            <w:pPr>
              <w:keepNext w:val="0"/>
              <w:keepLines w:val="0"/>
              <w:widowControl/>
              <w:numPr>
                <w:ilvl w:val="0"/>
                <w:numId w:val="34"/>
              </w:numPr>
              <w:suppressLineNumbers w:val="0"/>
              <w:ind w:left="425" w:leftChars="0" w:hanging="425"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适用设备：真空灭菌器</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bl>
    <w:p>
      <w:pPr>
        <w:rPr>
          <w:rFonts w:hint="eastAsia" w:ascii="宋体" w:hAnsi="宋体" w:eastAsia="宋体" w:cs="Times New Roman"/>
          <w:sz w:val="24"/>
          <w:szCs w:val="24"/>
          <w:highlight w:val="none"/>
          <w:lang w:eastAsia="zh-CN"/>
        </w:rPr>
      </w:pPr>
    </w:p>
    <w:p>
      <w:pP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eastAsia="zh-CN"/>
        </w:rPr>
        <w:t>采购包</w:t>
      </w:r>
      <w:r>
        <w:rPr>
          <w:rFonts w:hint="eastAsia" w:ascii="宋体" w:hAnsi="宋体" w:eastAsia="宋体" w:cs="Times New Roman"/>
          <w:sz w:val="24"/>
          <w:szCs w:val="24"/>
          <w:highlight w:val="none"/>
          <w:lang w:val="en-US" w:eastAsia="zh-CN"/>
        </w:rPr>
        <w:t>3：</w:t>
      </w:r>
    </w:p>
    <w:tbl>
      <w:tblPr>
        <w:tblStyle w:val="6"/>
        <w:tblW w:w="8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9"/>
        <w:gridCol w:w="1611"/>
        <w:gridCol w:w="2553"/>
        <w:gridCol w:w="758"/>
        <w:gridCol w:w="867"/>
        <w:gridCol w:w="1216"/>
        <w:gridCol w:w="5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产品名称</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规格及要求</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控制单价（元）</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所投产品是否为四川药品和医用耗材招采管理系统挂网产品</w:t>
            </w:r>
          </w:p>
        </w:tc>
        <w:tc>
          <w:tcPr>
            <w:tcW w:w="5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简易喷雾器</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呼吸机雾化专用，由喷雾器导管组成</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5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一次性使用咬口</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中号</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5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无创呼吸机面罩</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1.大/中/小；</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2.适用设备：飞利浦/凯迪泰/安保呼吸机</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5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缓冲福尔马林（组织固定液）</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10%中性</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74.96</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5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无菌鼻饲管（鼻胃肠管）1</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1200mm，最大留置期不少于30天</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105.3</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5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无菌鼻饲管（鼻胃肠管）2</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1300mm，最大留置期不少于45天</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130</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5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透明敷料</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10cmX12cm</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11.25</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5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揿针</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0.25*1.3mm 100支/盒</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0.35</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5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一次性经外周中心静脉导管套装</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4Fr—60cm</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1300</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5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医用缝合针1</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圆针0.6mm×14mm</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3.71</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5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医用缝合针2</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圆针0.7mm×17mm</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3.71</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5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医用缝合针3</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圆针1.0mm×24mm</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3.71</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5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医用缝合针4</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圆针1.0mm×28mm</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3.71</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5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医用缝合针5</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圆针1.0mm×20mm</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3.71</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5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医用缝合针6</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三角0.7mm×20mm</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3.69</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5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医用缝合针7</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三角1.0mm×20mm</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3.69</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5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医用缝合针8</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三角1.0mm×24mm</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3.71</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5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医用缝合针9</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三角1.0mm×28mm</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3.69</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5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医用缝合针10</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三角0.6mm×17mm</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3.69</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5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bl>
    <w:p>
      <w:pPr>
        <w:rPr>
          <w:rFonts w:hint="eastAsia" w:ascii="宋体" w:hAnsi="宋体" w:eastAsia="宋体" w:cs="Times New Roman"/>
          <w:sz w:val="24"/>
          <w:szCs w:val="24"/>
          <w:highlight w:val="none"/>
          <w:lang w:eastAsia="zh-CN"/>
        </w:rPr>
      </w:pPr>
    </w:p>
    <w:p>
      <w:pP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eastAsia="zh-CN"/>
        </w:rPr>
        <w:t>采购包</w:t>
      </w:r>
      <w:r>
        <w:rPr>
          <w:rFonts w:hint="eastAsia" w:ascii="宋体" w:hAnsi="宋体" w:eastAsia="宋体" w:cs="Times New Roman"/>
          <w:sz w:val="24"/>
          <w:szCs w:val="24"/>
          <w:highlight w:val="none"/>
          <w:lang w:val="en-US" w:eastAsia="zh-CN"/>
        </w:rPr>
        <w:t>4：</w:t>
      </w:r>
    </w:p>
    <w:tbl>
      <w:tblPr>
        <w:tblStyle w:val="6"/>
        <w:tblW w:w="83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9"/>
        <w:gridCol w:w="1181"/>
        <w:gridCol w:w="3183"/>
        <w:gridCol w:w="696"/>
        <w:gridCol w:w="866"/>
        <w:gridCol w:w="1234"/>
        <w:gridCol w:w="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产品名称</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ind w:leftChars="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规格及要求</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控制单价（元）</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所投产品是否为四川药品和医用耗材招采管理系统挂网产品</w:t>
            </w:r>
          </w:p>
        </w:tc>
        <w:tc>
          <w:tcPr>
            <w:tcW w:w="5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血浆胆红素吸附器</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5"/>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采用离子树脂为吸附剂，外壳容器材料为聚丙烯，两端有过滤网，其中出血浆端加装无纺布；</w:t>
            </w:r>
          </w:p>
          <w:p>
            <w:pPr>
              <w:keepNext w:val="0"/>
              <w:keepLines w:val="0"/>
              <w:widowControl/>
              <w:numPr>
                <w:ilvl w:val="0"/>
                <w:numId w:val="35"/>
              </w:numPr>
              <w:suppressLineNumbers w:val="0"/>
              <w:ind w:left="425" w:leftChars="0" w:hanging="425" w:firstLineChars="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适用设备：健帆/费森/金宝CRRT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透析型人工肾一次性使用血液回路导管</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6"/>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PVC材质，由动脉侧、静脉侧回路组成，用于血液透析时作为血液通道；</w:t>
            </w:r>
          </w:p>
          <w:p>
            <w:pPr>
              <w:keepNext w:val="0"/>
              <w:keepLines w:val="0"/>
              <w:widowControl/>
              <w:numPr>
                <w:ilvl w:val="0"/>
                <w:numId w:val="36"/>
              </w:numPr>
              <w:suppressLineNumbers w:val="0"/>
              <w:ind w:left="425" w:leftChars="0" w:hanging="425" w:firstLineChars="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适用设备：健帆CRRT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444.9</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血液灌流器</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7"/>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聚苯乙烯中性大孔树脂材质，由柱体、吸附剂和注射用水三部分组成；</w:t>
            </w:r>
          </w:p>
          <w:p>
            <w:pPr>
              <w:keepNext w:val="0"/>
              <w:keepLines w:val="0"/>
              <w:widowControl/>
              <w:numPr>
                <w:ilvl w:val="0"/>
                <w:numId w:val="37"/>
              </w:numPr>
              <w:suppressLineNumbers w:val="0"/>
              <w:ind w:left="425" w:leftChars="0" w:hanging="425" w:firstLineChars="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适用设备：健帆/费森/金宝CRRT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2242</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一次性膜型血浆分离器</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8"/>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中空纤维的材质为聚乙烯，内径为350±50μm，膜厚50±10μm。有效面积≥0.8m2；</w:t>
            </w:r>
          </w:p>
          <w:p>
            <w:pPr>
              <w:keepNext w:val="0"/>
              <w:keepLines w:val="0"/>
              <w:widowControl/>
              <w:numPr>
                <w:ilvl w:val="0"/>
                <w:numId w:val="38"/>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适用设备：健帆/费森CRRT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2350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一次性血液透析滤过器及配套管路</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9"/>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由空心纤维、外壳和顶盖、密封材料、管路及支架组成，适用于急性肾功能衰竭和/或液体超负荷的病人；</w:t>
            </w:r>
          </w:p>
          <w:p>
            <w:pPr>
              <w:keepNext w:val="0"/>
              <w:keepLines w:val="0"/>
              <w:widowControl/>
              <w:numPr>
                <w:ilvl w:val="0"/>
                <w:numId w:val="39"/>
              </w:numPr>
              <w:suppressLineNumbers w:val="0"/>
              <w:ind w:left="425" w:leftChars="0" w:hanging="425" w:firstLineChars="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适用设备：金宝CRRT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可控式吸痰管</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0"/>
              </w:numPr>
              <w:suppressLineNumbers w:val="0"/>
              <w:ind w:left="425" w:leftChars="0" w:hanging="425" w:firstLineChars="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30cm纤支镜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细菌过滤器</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1"/>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用于肺功能仪接口处细菌过滤，细菌过滤效率≥95%；</w:t>
            </w:r>
          </w:p>
          <w:p>
            <w:pPr>
              <w:keepNext w:val="0"/>
              <w:keepLines w:val="0"/>
              <w:widowControl/>
              <w:numPr>
                <w:ilvl w:val="0"/>
                <w:numId w:val="41"/>
              </w:numPr>
              <w:suppressLineNumbers w:val="0"/>
              <w:ind w:left="425" w:leftChars="0" w:hanging="425" w:firstLineChars="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适用设备：德国耶格肺功能仪</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可吸收性外科缝线</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2"/>
              </w:numPr>
              <w:suppressLineNumbers w:val="0"/>
              <w:ind w:left="425" w:leftChars="0" w:hanging="425" w:firstLineChars="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3-0，2cmX12节</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一次性使用埋线针</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3"/>
              </w:numPr>
              <w:suppressLineNumbers w:val="0"/>
              <w:ind w:left="425" w:leftChars="0" w:hanging="425" w:firstLineChars="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0.75x65mm</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一次性使用无菌溶药器（PRP专用）</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4"/>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10ml（1.2mm*30mm）；</w:t>
            </w:r>
          </w:p>
          <w:p>
            <w:pPr>
              <w:keepNext w:val="0"/>
              <w:keepLines w:val="0"/>
              <w:widowControl/>
              <w:numPr>
                <w:ilvl w:val="0"/>
                <w:numId w:val="44"/>
              </w:numPr>
              <w:suppressLineNumbers w:val="0"/>
              <w:ind w:left="425" w:leftChars="0" w:hanging="425" w:firstLineChars="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适用设备：蜀科低速冷冻离心机</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一次性使用无菌注射针1</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5"/>
              </w:numPr>
              <w:suppressLineNumbers w:val="0"/>
              <w:ind w:left="425" w:leftChars="0" w:hanging="425" w:firstLineChars="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0.7（0.7mmx80mm）</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一次性使用无菌注射针2</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6"/>
              </w:numPr>
              <w:suppressLineNumbers w:val="0"/>
              <w:ind w:left="425" w:leftChars="0" w:hanging="425" w:firstLineChars="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0.5（0.5mmx60mm）</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一次性使用无菌注射器带针</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7"/>
              </w:numPr>
              <w:suppressLineNumbers w:val="0"/>
              <w:ind w:left="425" w:leftChars="0" w:hanging="425" w:firstLineChars="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20ml (1.2mmx38mm)灌洗专用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0.53</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5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bl>
    <w:p>
      <w:pPr>
        <w:rPr>
          <w:rFonts w:hint="default" w:ascii="宋体" w:hAnsi="宋体" w:eastAsia="宋体" w:cs="Times New Roman"/>
          <w:sz w:val="24"/>
          <w:szCs w:val="24"/>
          <w:highlight w:val="none"/>
          <w:lang w:val="en-US" w:eastAsia="zh-CN"/>
        </w:rPr>
      </w:pPr>
    </w:p>
    <w:p>
      <w:pPr>
        <w:pStyle w:val="2"/>
        <w:keepNext w:val="0"/>
        <w:keepLines w:val="0"/>
        <w:pageBreakBefore w:val="0"/>
        <w:kinsoku/>
        <w:wordWrap/>
        <w:overflowPunct/>
        <w:topLinePunct w:val="0"/>
        <w:autoSpaceDE/>
        <w:autoSpaceDN/>
        <w:bidi w:val="0"/>
        <w:adjustRightInd/>
        <w:snapToGrid/>
        <w:spacing w:line="500" w:lineRule="exact"/>
        <w:textAlignment w:val="auto"/>
        <w:outlineLvl w:val="1"/>
        <w:rPr>
          <w:rFonts w:hint="eastAsia"/>
          <w:sz w:val="24"/>
          <w:szCs w:val="24"/>
          <w:highlight w:val="none"/>
        </w:rPr>
      </w:pP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lang w:eastAsia="zh-CN"/>
        </w:rPr>
        <w:t>配送服务要求（实质性要求）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1、配送总体要求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1.1供应商应按照采购人的需求及采购计划按时、按质、按量进行配送。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1.2成交供应商应严格按照响应文件响应的产品进行配送，包括品牌、规格、型号、生产厂家等。未经采购人同意，供应商不得擅自变更产品。如需变更产品，须由供应商向采购人提出书面申请，经采购人审批同意后才能进行配送。</w:t>
      </w:r>
    </w:p>
    <w:p>
      <w:pPr>
        <w:pStyle w:val="2"/>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1.3供应商配送的护理耗材需与采购单位现有的医疗设备适配，如无法匹配使用，采购人可要求退换，费用由供应商自行承担。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1.4配送具体实施方案由供需双方在签订采购合同时另行约定。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2、配送质量要求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2.1供应商配送的产品必须符合国家药品监督管理部门规定的质量标准和管理规范，确保临床使用安全有效，符合政府相关采购、销售管理规定。如供应商提供的产品不能满足临床需要，参数与磋商文件、响应文件不符，采购人有权退货，并追究由此造成的经济损失及相关法律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2.2供应商配送的产品有效期应不低于该产品本身有效期一半时间以上(配送时)。若有效期内出现产品质量问题，供应商须按照合同约定，负责退换货；因产品质量问题导致相关医疗纠纷或经济赔偿，由供应商承担相应的经济和法律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2.3供应商配送产品时，应按标准保护措施进行包装，以防止产品在运输过程中损坏或变质，确保完好无损运抵指定地点。对于破损产品须按采购人要求进行及时调换。</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2.4配送过程中，因各种原因导致的不合格产品、药监部门规定不允许销售的器械耗材、近效期未使用完的产品，均由供应商负责退换货。</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rFonts w:hint="default"/>
          <w:highlight w:val="none"/>
          <w:lang w:val="en-US" w:eastAsia="zh-CN"/>
        </w:rPr>
      </w:pPr>
      <w:r>
        <w:rPr>
          <w:rFonts w:hint="eastAsia" w:ascii="宋体" w:hAnsi="宋体" w:eastAsia="宋体" w:cs="宋体"/>
          <w:kern w:val="2"/>
          <w:sz w:val="24"/>
          <w:szCs w:val="24"/>
          <w:highlight w:val="none"/>
          <w:u w:val="none"/>
          <w:lang w:val="en-US" w:eastAsia="zh-CN" w:bidi="ar-SA"/>
        </w:rPr>
        <w:t>2.5</w:t>
      </w:r>
      <w:r>
        <w:rPr>
          <w:rFonts w:hint="eastAsia" w:ascii="宋体" w:hAnsi="宋体" w:eastAsia="宋体" w:cs="宋体"/>
          <w:sz w:val="24"/>
          <w:szCs w:val="24"/>
          <w:highlight w:val="none"/>
          <w:lang w:val="en-US" w:eastAsia="zh-CN"/>
        </w:rPr>
        <w:t>在耗材配送服务期间，因成交供应商配送的产品质量问题给采购人造成的纠纷、医疗事故和经济损失由成交供应商负责。</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3、配送物流要求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3.1供应商应组织专业运输车辆及配送人员，按时、按质、按量向采购人提供配送耗材，备有充足库存，负责产品的运输、现场搬运，并按要求送达采购人指定地点。(提供仓库照片及仓库场所租赁合同或产权证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3.2供应商应在2小时内响应采购人订单，并从订单下达之时起，急救产品2小时内送达，一般产品2个工作日内送达，如遇突发事件或特殊情况，不论工作日还是节假日均须在4小时内送达，生命支持类高值医用耗材节假日照常配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3.3对配送耗材所提供的相关票据应符合财经制度的相关规定，并保证所提供票据和相关材料的真实性和有效性。</w:t>
      </w:r>
    </w:p>
    <w:p>
      <w:pPr>
        <w:keepNext w:val="0"/>
        <w:keepLines w:val="0"/>
        <w:pageBreakBefore w:val="0"/>
        <w:widowControl w:val="0"/>
        <w:numPr>
          <w:ilvl w:val="0"/>
          <w:numId w:val="48"/>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其他要求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default" w:ascii="宋体" w:hAnsi="宋体" w:eastAsia="宋体" w:cs="宋体"/>
          <w:b/>
          <w:bCs/>
          <w:kern w:val="2"/>
          <w:sz w:val="24"/>
          <w:szCs w:val="24"/>
          <w:highlight w:val="none"/>
          <w:u w:val="none"/>
          <w:lang w:val="en-US" w:eastAsia="zh-CN" w:bidi="ar-SA"/>
        </w:rPr>
      </w:pPr>
      <w:r>
        <w:rPr>
          <w:rFonts w:hint="eastAsia" w:ascii="宋体" w:hAnsi="宋体" w:eastAsia="宋体" w:cs="宋体"/>
          <w:b/>
          <w:bCs/>
          <w:color w:val="auto"/>
          <w:sz w:val="24"/>
          <w:szCs w:val="24"/>
          <w:highlight w:val="none"/>
          <w:lang w:val="en-US" w:eastAsia="zh-CN"/>
        </w:rPr>
        <w:t>4.1若产品为挂网耗材，</w:t>
      </w:r>
      <w:r>
        <w:rPr>
          <w:rFonts w:hint="eastAsia" w:ascii="宋体" w:hAnsi="宋体" w:eastAsia="宋体" w:cs="宋体"/>
          <w:b/>
          <w:bCs/>
          <w:color w:val="auto"/>
          <w:sz w:val="24"/>
          <w:szCs w:val="24"/>
          <w:highlight w:val="none"/>
          <w:lang w:eastAsia="zh-CN"/>
        </w:rPr>
        <w:t>供应商在报价时应提供该产品在该系统中的商品</w:t>
      </w:r>
      <w:r>
        <w:rPr>
          <w:rFonts w:hint="eastAsia" w:ascii="宋体" w:hAnsi="宋体" w:eastAsia="宋体" w:cs="宋体"/>
          <w:b/>
          <w:bCs/>
          <w:color w:val="auto"/>
          <w:sz w:val="24"/>
          <w:szCs w:val="24"/>
          <w:highlight w:val="none"/>
          <w:lang w:val="en-US" w:eastAsia="zh-CN"/>
        </w:rPr>
        <w:t>ID，后续配送时应严格按照该产品ID项公示的产品配送。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4.2挂网耗材严格按照《四川省医药机构医用耗材集中采购实施方案》川医保规〔2021〕10号文件要求执行。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4.3若非挂网耗材在合同服务期内成为挂网耗材，则按挂网耗材标准执行采购和配送服务，结算时以平台最低挂网价进行结算。</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4.4成交供应商在服务期限内须按照采购人的要求提供伴随服务。</w:t>
      </w:r>
      <w:r>
        <w:rPr>
          <w:rFonts w:hint="eastAsia" w:ascii="宋体" w:hAnsi="宋体" w:eastAsia="宋体" w:cs="宋体"/>
          <w:b/>
          <w:bCs/>
          <w:kern w:val="2"/>
          <w:sz w:val="24"/>
          <w:szCs w:val="24"/>
          <w:highlight w:val="none"/>
          <w:u w:val="none"/>
          <w:lang w:val="en-US" w:eastAsia="zh-CN" w:bidi="ar-SA"/>
        </w:rPr>
        <w:t>(提供承诺函，见格式2-12)</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highlight w:val="none"/>
          <w:lang w:val="en-US" w:eastAsia="zh-CN"/>
        </w:rPr>
      </w:pPr>
      <w:r>
        <w:rPr>
          <w:rFonts w:hint="eastAsia" w:ascii="宋体" w:hAnsi="宋体" w:eastAsia="宋体" w:cs="宋体"/>
          <w:kern w:val="2"/>
          <w:sz w:val="24"/>
          <w:szCs w:val="24"/>
          <w:highlight w:val="none"/>
          <w:u w:val="none"/>
          <w:lang w:val="en-US" w:eastAsia="zh-CN" w:bidi="ar-SA"/>
        </w:rPr>
        <w:t>5、考核要求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5.1采购人每年度按医院相关规定对供货商进行综合考核，不合格者不再续签相关合同。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5.2附件1作为医用耗材配送供应商考核办法大纲参考，具体考核细则由供需双方在采购合同中另行约定。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highlight w:val="none"/>
          <w:lang w:eastAsia="zh-CN"/>
        </w:rPr>
      </w:pPr>
      <w:r>
        <w:rPr>
          <w:rFonts w:hint="eastAsia" w:ascii="宋体" w:hAnsi="宋体" w:eastAsia="宋体" w:cs="宋体"/>
          <w:b/>
          <w:bCs/>
          <w:kern w:val="28"/>
          <w:sz w:val="28"/>
          <w:szCs w:val="28"/>
          <w:highlight w:val="none"/>
          <w:lang w:val="en-US" w:eastAsia="zh-CN" w:bidi="ar-SA"/>
        </w:rPr>
        <w:t>三、其他要求：</w:t>
      </w:r>
      <w:r>
        <w:rPr>
          <w:rFonts w:hint="eastAsia"/>
          <w:sz w:val="24"/>
          <w:szCs w:val="24"/>
          <w:highlight w:val="none"/>
          <w:lang w:eastAsia="zh-CN"/>
        </w:rPr>
        <w:t>（本项不做实质性要求，仅作后续评分参考）</w:t>
      </w:r>
    </w:p>
    <w:p>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供应商根据自身情况，结合项目实际需求在响应时可提供：</w:t>
      </w:r>
    </w:p>
    <w:p>
      <w:pPr>
        <w:pStyle w:val="2"/>
        <w:keepNext w:val="0"/>
        <w:keepLines w:val="0"/>
        <w:pageBreakBefore w:val="0"/>
        <w:widowControl w:val="0"/>
        <w:numPr>
          <w:ilvl w:val="0"/>
          <w:numId w:val="49"/>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项目实施方案包含：</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服务方案 包括:①备品备件方案；②产品配送方案；③组织协调方案；④诚信廉洁方案；⑤电子化采购实施方案；⑥运输保障及装卸；⑦安全文明及保障措施。</w:t>
      </w:r>
    </w:p>
    <w:p>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应急预案 包括:①配送突发状况处理方案；②产品突发状况处理方案；③应急物资的调配方案；④应急人员配置。</w:t>
      </w:r>
    </w:p>
    <w:p>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内控制度 包括①产品品控管理制度；②产品采购监管制度；③产品仓储管理制度；④产品配送管理制度。</w:t>
      </w:r>
    </w:p>
    <w:p>
      <w:pPr>
        <w:pStyle w:val="2"/>
        <w:keepNext w:val="0"/>
        <w:keepLines w:val="0"/>
        <w:pageBreakBefore w:val="0"/>
        <w:widowControl w:val="0"/>
        <w:numPr>
          <w:ilvl w:val="0"/>
          <w:numId w:val="49"/>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后续服务方案包含：①后续服务人员配置；②后续服务内容及范围；③后续服务保障措施；④后续服务响应时间</w:t>
      </w:r>
      <w:r>
        <w:rPr>
          <w:rFonts w:hint="eastAsia" w:ascii="宋体" w:hAnsi="宋体" w:eastAsia="宋体" w:cs="宋体"/>
          <w:sz w:val="24"/>
          <w:szCs w:val="24"/>
          <w:highlight w:val="none"/>
          <w:lang w:eastAsia="zh-CN"/>
        </w:rPr>
        <w:t>。</w:t>
      </w:r>
    </w:p>
    <w:p>
      <w:pPr>
        <w:pStyle w:val="2"/>
        <w:keepNext w:val="0"/>
        <w:keepLines w:val="0"/>
        <w:pageBreakBefore w:val="0"/>
        <w:widowControl w:val="0"/>
        <w:numPr>
          <w:ilvl w:val="0"/>
          <w:numId w:val="49"/>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履约能力包含项目配置和业绩。</w:t>
      </w:r>
    </w:p>
    <w:p>
      <w:pPr>
        <w:pStyle w:val="2"/>
        <w:keepNext w:val="0"/>
        <w:keepLines w:val="0"/>
        <w:pageBreakBefore w:val="0"/>
        <w:kinsoku/>
        <w:wordWrap/>
        <w:overflowPunct/>
        <w:topLinePunct w:val="0"/>
        <w:autoSpaceDE/>
        <w:autoSpaceDN/>
        <w:bidi w:val="0"/>
        <w:adjustRightInd/>
        <w:snapToGrid/>
        <w:spacing w:line="500" w:lineRule="exact"/>
        <w:textAlignment w:val="auto"/>
        <w:outlineLvl w:val="1"/>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lang w:eastAsia="zh-CN"/>
        </w:rPr>
        <w:t>四</w:t>
      </w:r>
      <w:r>
        <w:rPr>
          <w:rFonts w:hint="eastAsia" w:ascii="宋体" w:hAnsi="宋体" w:eastAsia="宋体" w:cs="宋体"/>
          <w:b/>
          <w:sz w:val="28"/>
          <w:szCs w:val="28"/>
          <w:highlight w:val="none"/>
        </w:rPr>
        <w:t>、商务要求</w:t>
      </w:r>
      <w:r>
        <w:rPr>
          <w:rFonts w:hint="eastAsia" w:ascii="宋体" w:hAnsi="宋体" w:eastAsia="宋体" w:cs="宋体"/>
          <w:b/>
          <w:sz w:val="28"/>
          <w:szCs w:val="28"/>
          <w:highlight w:val="none"/>
          <w:lang w:eastAsia="zh-CN"/>
        </w:rPr>
        <w:t>（实质性要求）</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期限</w:t>
      </w:r>
      <w:r>
        <w:rPr>
          <w:rFonts w:hint="eastAsia" w:ascii="宋体" w:hAnsi="宋体" w:eastAsia="宋体" w:cs="宋体"/>
          <w:color w:val="auto"/>
          <w:sz w:val="24"/>
          <w:szCs w:val="24"/>
          <w:highlight w:val="none"/>
        </w:rPr>
        <w:t>：</w:t>
      </w:r>
      <w:r>
        <w:rPr>
          <w:rFonts w:hint="eastAsia" w:eastAsia="宋体" w:cs="宋体"/>
          <w:color w:val="auto"/>
          <w:sz w:val="24"/>
          <w:szCs w:val="24"/>
          <w:highlight w:val="none"/>
          <w:lang w:eastAsia="zh-CN"/>
        </w:rPr>
        <w:t>自合同签订生效之日起</w:t>
      </w:r>
      <w:r>
        <w:rPr>
          <w:rFonts w:hint="eastAsia" w:eastAsia="宋体" w:cs="宋体"/>
          <w:color w:val="auto"/>
          <w:sz w:val="24"/>
          <w:szCs w:val="24"/>
          <w:highlight w:val="none"/>
          <w:lang w:val="en-US" w:eastAsia="zh-CN"/>
        </w:rPr>
        <w:t>3年，</w:t>
      </w:r>
      <w:r>
        <w:rPr>
          <w:rFonts w:hint="eastAsia" w:eastAsia="宋体" w:cs="宋体"/>
          <w:color w:val="auto"/>
          <w:sz w:val="24"/>
          <w:szCs w:val="24"/>
          <w:highlight w:val="none"/>
          <w:lang w:eastAsia="zh-CN"/>
        </w:rPr>
        <w:t>合同</w:t>
      </w:r>
      <w:r>
        <w:rPr>
          <w:rFonts w:hint="eastAsia" w:ascii="宋体" w:hAnsi="宋体" w:eastAsia="宋体" w:cs="宋体"/>
          <w:b w:val="0"/>
          <w:sz w:val="24"/>
          <w:highlight w:val="none"/>
          <w:lang w:eastAsia="zh-CN"/>
        </w:rPr>
        <w:t>一年一签；</w:t>
      </w:r>
      <w:r>
        <w:rPr>
          <w:rFonts w:hint="eastAsia" w:ascii="宋体" w:hAnsi="宋体" w:eastAsia="宋体" w:cs="宋体"/>
          <w:b w:val="0"/>
          <w:sz w:val="24"/>
          <w:highlight w:val="none"/>
          <w:lang w:val="en-US" w:eastAsia="zh-CN"/>
        </w:rPr>
        <w:t>根据供应商配送服务能力、服务质量等考核，考核合格，续签下一年度合同，考核不合格，不再续签合同</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auto"/>
          <w:sz w:val="24"/>
          <w:szCs w:val="24"/>
          <w:highlight w:val="none"/>
        </w:rPr>
        <w:t>（具体以合同</w:t>
      </w:r>
      <w:r>
        <w:rPr>
          <w:rFonts w:hint="eastAsia" w:eastAsia="宋体" w:cs="宋体"/>
          <w:color w:val="auto"/>
          <w:sz w:val="24"/>
          <w:szCs w:val="24"/>
          <w:highlight w:val="none"/>
          <w:lang w:eastAsia="zh-CN"/>
        </w:rPr>
        <w:t>约定</w:t>
      </w:r>
      <w:r>
        <w:rPr>
          <w:rFonts w:hint="eastAsia" w:ascii="宋体" w:hAnsi="宋体" w:eastAsia="宋体" w:cs="宋体"/>
          <w:color w:val="auto"/>
          <w:sz w:val="24"/>
          <w:szCs w:val="24"/>
          <w:highlight w:val="none"/>
        </w:rPr>
        <w:t>为准）</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eastAsia="宋体" w:cs="宋体"/>
          <w:color w:val="auto"/>
          <w:sz w:val="24"/>
          <w:szCs w:val="24"/>
          <w:highlight w:val="none"/>
          <w:lang w:eastAsia="zh-CN"/>
        </w:rPr>
        <w:t>结算要求</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50"/>
        <w:textAlignment w:val="auto"/>
        <w:rPr>
          <w:rFonts w:hint="eastAsia" w:eastAsia="宋体" w:cs="宋体"/>
          <w:color w:val="auto"/>
          <w:sz w:val="24"/>
          <w:szCs w:val="24"/>
          <w:highlight w:val="none"/>
          <w:lang w:eastAsia="zh-CN"/>
        </w:rPr>
      </w:pPr>
      <w:r>
        <w:rPr>
          <w:rFonts w:hint="eastAsia" w:eastAsia="宋体" w:cs="宋体"/>
          <w:color w:val="auto"/>
          <w:sz w:val="24"/>
          <w:szCs w:val="24"/>
          <w:highlight w:val="none"/>
          <w:lang w:val="en-US" w:eastAsia="zh-CN"/>
        </w:rPr>
        <w:t>2.1.</w:t>
      </w:r>
      <w:r>
        <w:rPr>
          <w:rFonts w:hint="eastAsia" w:ascii="宋体" w:hAnsi="宋体" w:eastAsia="宋体" w:cs="宋体"/>
          <w:color w:val="auto"/>
          <w:sz w:val="24"/>
          <w:szCs w:val="24"/>
          <w:highlight w:val="none"/>
          <w:lang w:val="en-US" w:eastAsia="zh-CN"/>
        </w:rPr>
        <w:t>供应商所提供的产品经验收合格、使用正常、无质量问题前提下按入库的实际数量*单价结算</w:t>
      </w:r>
      <w:r>
        <w:rPr>
          <w:rFonts w:hint="eastAsia"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50"/>
        <w:textAlignment w:val="auto"/>
        <w:rPr>
          <w:rFonts w:hint="eastAsia" w:eastAsia="宋体" w:cs="宋体"/>
          <w:color w:val="auto"/>
          <w:sz w:val="24"/>
          <w:szCs w:val="24"/>
          <w:highlight w:val="none"/>
          <w:lang w:eastAsia="zh-CN"/>
        </w:rPr>
      </w:pPr>
      <w:r>
        <w:rPr>
          <w:rFonts w:hint="eastAsia" w:eastAsia="宋体" w:cs="宋体"/>
          <w:color w:val="auto"/>
          <w:sz w:val="24"/>
          <w:szCs w:val="24"/>
          <w:highlight w:val="none"/>
          <w:lang w:val="en-US" w:eastAsia="zh-CN"/>
        </w:rPr>
        <w:t>2.2.</w:t>
      </w:r>
      <w:r>
        <w:rPr>
          <w:rFonts w:hint="eastAsia" w:ascii="宋体" w:hAnsi="宋体" w:eastAsia="宋体" w:cs="宋体"/>
          <w:b/>
          <w:bCs/>
          <w:color w:val="auto"/>
          <w:sz w:val="24"/>
          <w:szCs w:val="24"/>
          <w:highlight w:val="none"/>
          <w:lang w:val="en-US" w:eastAsia="zh-CN"/>
        </w:rPr>
        <w:t>若产品为挂网耗材，</w:t>
      </w:r>
      <w:r>
        <w:rPr>
          <w:rFonts w:hint="eastAsia" w:eastAsia="宋体" w:cs="宋体"/>
          <w:color w:val="auto"/>
          <w:sz w:val="24"/>
          <w:szCs w:val="24"/>
          <w:highlight w:val="none"/>
          <w:lang w:val="en-US" w:eastAsia="zh-CN"/>
        </w:rPr>
        <w:t>结算时则</w:t>
      </w:r>
      <w:r>
        <w:rPr>
          <w:rFonts w:hint="eastAsia" w:ascii="宋体" w:hAnsi="宋体" w:eastAsia="宋体" w:cs="宋体"/>
          <w:color w:val="auto"/>
          <w:sz w:val="24"/>
          <w:szCs w:val="24"/>
          <w:highlight w:val="none"/>
          <w:lang w:eastAsia="zh-CN"/>
        </w:rPr>
        <w:t>按照该</w:t>
      </w:r>
      <w:r>
        <w:rPr>
          <w:rFonts w:hint="eastAsia" w:eastAsia="宋体" w:cs="宋体"/>
          <w:color w:val="auto"/>
          <w:sz w:val="24"/>
          <w:szCs w:val="24"/>
          <w:highlight w:val="none"/>
          <w:lang w:eastAsia="zh-CN"/>
        </w:rPr>
        <w:t>产品实时挂网</w:t>
      </w:r>
      <w:r>
        <w:rPr>
          <w:rFonts w:hint="eastAsia" w:ascii="宋体" w:hAnsi="宋体" w:eastAsia="宋体" w:cs="宋体"/>
          <w:color w:val="auto"/>
          <w:sz w:val="24"/>
          <w:szCs w:val="24"/>
          <w:highlight w:val="none"/>
          <w:lang w:eastAsia="zh-CN"/>
        </w:rPr>
        <w:t>价</w:t>
      </w:r>
      <w:r>
        <w:rPr>
          <w:rFonts w:hint="eastAsia" w:eastAsia="宋体" w:cs="宋体"/>
          <w:color w:val="auto"/>
          <w:sz w:val="24"/>
          <w:szCs w:val="24"/>
          <w:highlight w:val="none"/>
          <w:lang w:eastAsia="zh-CN"/>
        </w:rPr>
        <w:t>与磋商成交价相比较择低执行结算；</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50"/>
        <w:textAlignment w:val="auto"/>
        <w:rPr>
          <w:rFonts w:hint="eastAsia" w:eastAsia="宋体" w:cs="宋体"/>
          <w:color w:val="auto"/>
          <w:sz w:val="24"/>
          <w:szCs w:val="24"/>
          <w:highlight w:val="none"/>
          <w:lang w:eastAsia="zh-CN"/>
        </w:rPr>
      </w:pPr>
      <w:r>
        <w:rPr>
          <w:rFonts w:hint="eastAsia" w:eastAsia="宋体" w:cs="宋体"/>
          <w:color w:val="auto"/>
          <w:sz w:val="24"/>
          <w:szCs w:val="24"/>
          <w:highlight w:val="none"/>
          <w:lang w:val="en-US" w:eastAsia="zh-CN"/>
        </w:rPr>
        <w:t>2.3.</w:t>
      </w:r>
      <w:r>
        <w:rPr>
          <w:rFonts w:hint="eastAsia" w:ascii="宋体" w:hAnsi="宋体" w:eastAsia="宋体" w:cs="宋体"/>
          <w:b/>
          <w:bCs/>
          <w:color w:val="auto"/>
          <w:sz w:val="24"/>
          <w:szCs w:val="24"/>
          <w:highlight w:val="none"/>
          <w:lang w:val="en-US" w:eastAsia="zh-CN"/>
        </w:rPr>
        <w:t>若产品非挂网耗材，</w:t>
      </w:r>
      <w:r>
        <w:rPr>
          <w:rFonts w:hint="eastAsia" w:eastAsia="宋体" w:cs="宋体"/>
          <w:color w:val="auto"/>
          <w:sz w:val="24"/>
          <w:szCs w:val="24"/>
          <w:highlight w:val="none"/>
          <w:lang w:val="en-US" w:eastAsia="zh-CN"/>
        </w:rPr>
        <w:t>结算时则</w:t>
      </w:r>
      <w:r>
        <w:rPr>
          <w:rFonts w:hint="eastAsia" w:ascii="宋体" w:hAnsi="宋体" w:eastAsia="宋体" w:cs="宋体"/>
          <w:color w:val="auto"/>
          <w:sz w:val="24"/>
          <w:szCs w:val="24"/>
          <w:highlight w:val="none"/>
          <w:lang w:eastAsia="zh-CN"/>
        </w:rPr>
        <w:t>按照该</w:t>
      </w:r>
      <w:r>
        <w:rPr>
          <w:rFonts w:hint="eastAsia" w:eastAsia="宋体" w:cs="宋体"/>
          <w:color w:val="auto"/>
          <w:sz w:val="24"/>
          <w:szCs w:val="24"/>
          <w:highlight w:val="none"/>
          <w:lang w:eastAsia="zh-CN"/>
        </w:rPr>
        <w:t>产品磋商成交</w:t>
      </w:r>
      <w:r>
        <w:rPr>
          <w:rFonts w:hint="eastAsia" w:eastAsia="宋体" w:cs="宋体"/>
          <w:color w:val="auto"/>
          <w:sz w:val="24"/>
          <w:szCs w:val="24"/>
          <w:highlight w:val="none"/>
          <w:lang w:val="en-US" w:eastAsia="zh-CN"/>
        </w:rPr>
        <w:t>单</w:t>
      </w:r>
      <w:r>
        <w:rPr>
          <w:rFonts w:hint="eastAsia" w:eastAsia="宋体" w:cs="宋体"/>
          <w:color w:val="auto"/>
          <w:sz w:val="24"/>
          <w:szCs w:val="24"/>
          <w:highlight w:val="none"/>
          <w:lang w:eastAsia="zh-CN"/>
        </w:rPr>
        <w:t>价执行结算；</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50"/>
        <w:textAlignment w:val="auto"/>
        <w:rPr>
          <w:rFonts w:hint="eastAsia" w:ascii="宋体" w:hAnsi="宋体" w:eastAsia="宋体" w:cs="宋体"/>
          <w:b w:val="0"/>
          <w:bCs w:val="0"/>
          <w:color w:val="auto"/>
          <w:sz w:val="24"/>
          <w:szCs w:val="24"/>
          <w:highlight w:val="none"/>
        </w:rPr>
      </w:pPr>
      <w:r>
        <w:rPr>
          <w:rFonts w:hint="eastAsia" w:eastAsia="宋体" w:cs="宋体"/>
          <w:color w:val="auto"/>
          <w:sz w:val="24"/>
          <w:szCs w:val="24"/>
          <w:highlight w:val="none"/>
          <w:lang w:val="en-US" w:eastAsia="zh-CN"/>
        </w:rPr>
        <w:t>2.4.成交供应商应每月向采购人提交对已配送耗材的税票和有关单据申请支付，形成滚动者90日后、合同期限内按月滚动付款，未形成滚动者用完后付款。</w:t>
      </w:r>
      <w:r>
        <w:rPr>
          <w:rFonts w:hint="eastAsia" w:ascii="宋体" w:hAnsi="宋体" w:eastAsia="宋体" w:cs="宋体"/>
          <w:b w:val="0"/>
          <w:bCs w:val="0"/>
          <w:color w:val="auto"/>
          <w:sz w:val="24"/>
          <w:szCs w:val="24"/>
          <w:highlight w:val="none"/>
        </w:rPr>
        <w:t>（具体以合同</w:t>
      </w:r>
      <w:r>
        <w:rPr>
          <w:rFonts w:hint="eastAsia" w:eastAsia="宋体" w:cs="宋体"/>
          <w:b w:val="0"/>
          <w:bCs w:val="0"/>
          <w:color w:val="auto"/>
          <w:sz w:val="24"/>
          <w:szCs w:val="24"/>
          <w:highlight w:val="none"/>
          <w:lang w:eastAsia="zh-CN"/>
        </w:rPr>
        <w:t>约定</w:t>
      </w:r>
      <w:r>
        <w:rPr>
          <w:rFonts w:hint="eastAsia" w:ascii="宋体" w:hAnsi="宋体" w:eastAsia="宋体" w:cs="宋体"/>
          <w:b w:val="0"/>
          <w:bCs w:val="0"/>
          <w:color w:val="auto"/>
          <w:sz w:val="24"/>
          <w:szCs w:val="24"/>
          <w:highlight w:val="none"/>
        </w:rPr>
        <w:t>为准）</w:t>
      </w:r>
    </w:p>
    <w:p>
      <w:pPr>
        <w:pStyle w:val="2"/>
        <w:keepNext w:val="0"/>
        <w:keepLines w:val="0"/>
        <w:pageBreakBefore w:val="0"/>
        <w:widowControl w:val="0"/>
        <w:numPr>
          <w:ilvl w:val="0"/>
          <w:numId w:val="5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履约</w:t>
      </w:r>
      <w:r>
        <w:rPr>
          <w:rFonts w:hint="eastAsia" w:ascii="宋体" w:hAnsi="宋体" w:eastAsia="宋体" w:cs="宋体"/>
          <w:b w:val="0"/>
          <w:bCs w:val="0"/>
          <w:color w:val="auto"/>
          <w:sz w:val="24"/>
          <w:szCs w:val="24"/>
          <w:highlight w:val="none"/>
        </w:rPr>
        <w:t>地点：采购人指定地点。</w:t>
      </w:r>
    </w:p>
    <w:p>
      <w:pPr>
        <w:pStyle w:val="2"/>
        <w:keepNext w:val="0"/>
        <w:keepLines w:val="0"/>
        <w:pageBreakBefore w:val="0"/>
        <w:widowControl w:val="0"/>
        <w:numPr>
          <w:ilvl w:val="0"/>
          <w:numId w:val="50"/>
        </w:numPr>
        <w:kinsoku/>
        <w:wordWrap/>
        <w:overflowPunct/>
        <w:topLinePunct w:val="0"/>
        <w:autoSpaceDE/>
        <w:autoSpaceDN/>
        <w:bidi w:val="0"/>
        <w:adjustRightInd/>
        <w:snapToGrid/>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sz w:val="24"/>
          <w:szCs w:val="24"/>
          <w:highlight w:val="none"/>
          <w:u w:val="none"/>
          <w:lang w:val="en-US" w:eastAsia="zh-CN"/>
        </w:rPr>
        <w:t>报</w:t>
      </w:r>
      <w:r>
        <w:rPr>
          <w:rFonts w:hint="eastAsia" w:ascii="宋体" w:hAnsi="宋体" w:eastAsia="宋体" w:cs="宋体"/>
          <w:sz w:val="24"/>
          <w:szCs w:val="24"/>
          <w:highlight w:val="none"/>
          <w:u w:val="none"/>
          <w:lang w:val="en-US" w:eastAsia="zh-CN"/>
        </w:rPr>
        <w:t>价要求：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4.1.本项目采用报单价方式报价，供应商所提供报价应是针对本项目提供的服务及服务所需的配送车辆、产品、人工、装卸、运输、保险、后续服务、管理、利润、检验检测、税金等其它各类费用的总和，采购人不再支付其他费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u w:val="none"/>
          <w:lang w:val="en-US" w:eastAsia="zh-CN"/>
        </w:rPr>
        <w:t>4.2.</w:t>
      </w:r>
      <w:r>
        <w:rPr>
          <w:rFonts w:hint="eastAsia" w:ascii="宋体" w:hAnsi="宋体" w:eastAsia="宋体" w:cs="宋体"/>
          <w:b/>
          <w:bCs/>
          <w:sz w:val="24"/>
          <w:szCs w:val="24"/>
          <w:highlight w:val="none"/>
          <w:u w:val="none"/>
          <w:lang w:val="en-US" w:eastAsia="zh-CN"/>
        </w:rPr>
        <w:t>（本项仅适用于采购包3、4）</w:t>
      </w:r>
      <w:r>
        <w:rPr>
          <w:rFonts w:hint="eastAsia" w:ascii="宋体" w:hAnsi="宋体" w:eastAsia="宋体" w:cs="宋体"/>
          <w:sz w:val="24"/>
          <w:szCs w:val="24"/>
          <w:highlight w:val="none"/>
          <w:u w:val="none"/>
          <w:lang w:val="en-US" w:eastAsia="zh-CN"/>
        </w:rPr>
        <w:t>若供应商所配送产品的报价低于该产品在四川药品和医用耗材招采管理系统中最低价的95%，供应商需提供厂家出具的同意按其所报价格执行的确认文件予以佐证，否则将视为无效报价。（供应商需在报价表中列出配送产品在投标当月系统中显示最低价格）</w:t>
      </w:r>
    </w:p>
    <w:p>
      <w:pPr>
        <w:pStyle w:val="2"/>
        <w:keepNext w:val="0"/>
        <w:keepLines w:val="0"/>
        <w:pageBreakBefore w:val="0"/>
        <w:widowControl w:val="0"/>
        <w:numPr>
          <w:ilvl w:val="0"/>
          <w:numId w:val="50"/>
        </w:numPr>
        <w:kinsoku/>
        <w:wordWrap/>
        <w:overflowPunct/>
        <w:topLinePunct w:val="0"/>
        <w:autoSpaceDE/>
        <w:autoSpaceDN/>
        <w:bidi w:val="0"/>
        <w:adjustRightInd/>
        <w:snapToGrid/>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安全责任:供应商应为完成本项目做好相应的安全防护措施，项目实施过程中因供应商原因造成的安全责任由成交供应商负责，采购人不承担任何责任。</w:t>
      </w:r>
      <w:r>
        <w:rPr>
          <w:rFonts w:hint="eastAsia" w:ascii="宋体" w:hAnsi="宋体" w:eastAsia="宋体" w:cs="宋体"/>
          <w:b/>
          <w:bCs/>
          <w:color w:val="auto"/>
          <w:sz w:val="24"/>
          <w:szCs w:val="24"/>
          <w:highlight w:val="none"/>
          <w:lang w:eastAsia="zh-CN"/>
        </w:rPr>
        <w:t>(提供承诺函，</w:t>
      </w:r>
      <w:r>
        <w:rPr>
          <w:rFonts w:hint="eastAsia" w:ascii="宋体" w:hAnsi="宋体" w:eastAsia="宋体" w:cs="宋体"/>
          <w:b/>
          <w:bCs/>
          <w:color w:val="auto"/>
          <w:sz w:val="24"/>
          <w:szCs w:val="24"/>
          <w:highlight w:val="none"/>
          <w:lang w:val="en-US" w:eastAsia="zh-CN"/>
        </w:rPr>
        <w:t>格式自拟</w:t>
      </w:r>
      <w:r>
        <w:rPr>
          <w:rFonts w:hint="eastAsia" w:ascii="宋体" w:hAnsi="宋体" w:eastAsia="宋体" w:cs="宋体"/>
          <w:b/>
          <w:bCs/>
          <w:color w:val="auto"/>
          <w:sz w:val="24"/>
          <w:szCs w:val="24"/>
          <w:highlight w:val="none"/>
          <w:lang w:eastAsia="zh-CN"/>
        </w:rPr>
        <w:t>)</w:t>
      </w:r>
    </w:p>
    <w:p>
      <w:pPr>
        <w:pStyle w:val="2"/>
        <w:keepNext w:val="0"/>
        <w:keepLines w:val="0"/>
        <w:pageBreakBefore w:val="0"/>
        <w:widowControl w:val="0"/>
        <w:numPr>
          <w:ilvl w:val="0"/>
          <w:numId w:val="50"/>
        </w:numPr>
        <w:kinsoku/>
        <w:wordWrap/>
        <w:overflowPunct/>
        <w:topLinePunct w:val="0"/>
        <w:autoSpaceDE/>
        <w:autoSpaceDN/>
        <w:bidi w:val="0"/>
        <w:adjustRightInd/>
        <w:snapToGrid/>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验收标准：采购人按照政府采购相关法律法规、《财政部关于进一步加强政府采购需求和履约验收管理的指导意见》（财库〔2016〕205 号）、《政府采购需求管理办法》（财库</w:t>
      </w:r>
      <w:r>
        <w:rPr>
          <w:rFonts w:hint="eastAsia" w:ascii="宋体" w:hAnsi="宋体" w:eastAsia="宋体" w:cs="宋体"/>
          <w:color w:val="auto"/>
          <w:sz w:val="24"/>
          <w:szCs w:val="24"/>
          <w:highlight w:val="none"/>
          <w:lang w:eastAsia="zh-CN"/>
        </w:rPr>
        <w:t>〔2021〕22号）</w:t>
      </w:r>
      <w:r>
        <w:rPr>
          <w:rFonts w:hint="eastAsia" w:ascii="宋体" w:hAnsi="宋体" w:eastAsia="宋体" w:cs="宋体"/>
          <w:color w:val="auto"/>
          <w:sz w:val="24"/>
          <w:szCs w:val="24"/>
          <w:highlight w:val="none"/>
        </w:rPr>
        <w:t>的要求及国家行业主管部门规定的标准、方法和内容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合同要求等进行验收。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kern w:val="2"/>
          <w:sz w:val="24"/>
          <w:szCs w:val="24"/>
          <w:highlight w:val="none"/>
          <w:u w:val="none"/>
          <w:lang w:val="en-US" w:eastAsia="zh-CN" w:bidi="ar-SA"/>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b/>
          <w:bCs/>
          <w:kern w:val="2"/>
          <w:sz w:val="24"/>
          <w:szCs w:val="24"/>
          <w:highlight w:val="none"/>
          <w:u w:val="none"/>
          <w:lang w:val="en-US" w:eastAsia="zh-CN" w:bidi="ar-SA"/>
        </w:rPr>
        <w:t>（实质性要求，提供承诺函，格式自拟）</w:t>
      </w:r>
      <w:r>
        <w:rPr>
          <w:rFonts w:hint="eastAsia" w:ascii="宋体" w:hAnsi="宋体" w:eastAsia="宋体" w:cs="宋体"/>
          <w:b w:val="0"/>
          <w:bCs w:val="0"/>
          <w:kern w:val="2"/>
          <w:sz w:val="24"/>
          <w:szCs w:val="24"/>
          <w:highlight w:val="none"/>
          <w:u w:val="none"/>
          <w:lang w:val="en-US" w:eastAsia="zh-CN" w:bidi="ar-SA"/>
        </w:rPr>
        <w:t>供应商在配送交货时，须向采购人提供有效的产品相关资质证明文件(至少包括医疗器械产品注册证或第一类医疗器械备案信息表)及第三方检测机构出具的检测报告,并保证所提供资料的真实性和有效性。</w:t>
      </w:r>
    </w:p>
    <w:p>
      <w:pPr>
        <w:pStyle w:val="2"/>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其他未尽事宜由供需双方在合同中详细约定。</w:t>
      </w:r>
    </w:p>
    <w:p>
      <w:pPr>
        <w:outlineLvl w:val="9"/>
        <w:rPr>
          <w:rFonts w:hint="eastAsia" w:ascii="宋体" w:hAnsi="宋体" w:eastAsia="宋体" w:cs="宋体"/>
          <w:highlight w:val="none"/>
        </w:rPr>
      </w:pPr>
    </w:p>
    <w:p>
      <w:pPr>
        <w:pStyle w:val="5"/>
        <w:keepNext w:val="0"/>
        <w:keepLines w:val="0"/>
        <w:pageBreakBefore w:val="0"/>
        <w:widowControl w:val="0"/>
        <w:kinsoku/>
        <w:wordWrap/>
        <w:overflowPunct/>
        <w:topLinePunct w:val="0"/>
        <w:autoSpaceDE/>
        <w:autoSpaceDN/>
        <w:bidi w:val="0"/>
        <w:adjustRightInd/>
        <w:snapToGrid/>
        <w:spacing w:line="420" w:lineRule="exact"/>
        <w:jc w:val="left"/>
        <w:textAlignment w:val="auto"/>
        <w:outlineLvl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护理</w:t>
      </w:r>
      <w:r>
        <w:rPr>
          <w:rFonts w:hint="eastAsia" w:ascii="宋体" w:hAnsi="宋体" w:eastAsia="宋体" w:cs="宋体"/>
          <w:sz w:val="24"/>
          <w:szCs w:val="24"/>
          <w:highlight w:val="none"/>
          <w:lang w:eastAsia="zh-CN"/>
        </w:rPr>
        <w:t>耗材配送</w:t>
      </w:r>
      <w:r>
        <w:rPr>
          <w:rFonts w:hint="eastAsia" w:ascii="宋体" w:hAnsi="宋体" w:eastAsia="宋体" w:cs="宋体"/>
          <w:sz w:val="24"/>
          <w:szCs w:val="24"/>
          <w:highlight w:val="none"/>
        </w:rPr>
        <w:t>供应商考核办法</w:t>
      </w:r>
    </w:p>
    <w:p>
      <w:pPr>
        <w:pStyle w:val="5"/>
        <w:keepNext w:val="0"/>
        <w:keepLines w:val="0"/>
        <w:pageBreakBefore w:val="0"/>
        <w:widowControl w:val="0"/>
        <w:kinsoku/>
        <w:wordWrap/>
        <w:overflowPunct/>
        <w:topLinePunct w:val="0"/>
        <w:autoSpaceDE/>
        <w:autoSpaceDN/>
        <w:bidi w:val="0"/>
        <w:adjustRightInd/>
        <w:snapToGrid/>
        <w:spacing w:line="420" w:lineRule="exact"/>
        <w:jc w:val="left"/>
        <w:textAlignment w:val="auto"/>
        <w:outlineLvl w:val="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具体以合同约定为准</w:t>
      </w:r>
      <w:r>
        <w:rPr>
          <w:rFonts w:hint="eastAsia" w:ascii="宋体" w:hAnsi="宋体" w:eastAsia="宋体" w:cs="宋体"/>
          <w:b/>
          <w:bCs/>
          <w:sz w:val="24"/>
          <w:szCs w:val="24"/>
          <w:highlight w:val="none"/>
          <w:lang w:eastAsia="zh-CN"/>
        </w:rPr>
        <w:t>）</w:t>
      </w:r>
    </w:p>
    <w:tbl>
      <w:tblPr>
        <w:tblStyle w:val="6"/>
        <w:tblW w:w="97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4"/>
        <w:gridCol w:w="1305"/>
        <w:gridCol w:w="5820"/>
        <w:gridCol w:w="810"/>
        <w:gridCol w:w="765"/>
        <w:gridCol w:w="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考核项目</w:t>
            </w:r>
          </w:p>
        </w:tc>
        <w:tc>
          <w:tcPr>
            <w:tcW w:w="5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考核要求</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得分情况</w:t>
            </w:r>
          </w:p>
        </w:tc>
        <w:tc>
          <w:tcPr>
            <w:tcW w:w="54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b w:val="0"/>
                <w:bCs w:val="0"/>
                <w:sz w:val="24"/>
                <w:szCs w:val="24"/>
                <w:highlight w:val="none"/>
              </w:rPr>
              <w:t>产品品质保证能力</w:t>
            </w:r>
          </w:p>
        </w:tc>
        <w:tc>
          <w:tcPr>
            <w:tcW w:w="5820" w:type="dxa"/>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A.签订供应商服务承诺书、购销廉洁承诺书</w:t>
            </w:r>
            <w:r>
              <w:rPr>
                <w:rFonts w:hint="eastAsia" w:ascii="宋体" w:hAnsi="宋体" w:eastAsia="宋体" w:cs="宋体"/>
                <w:b w:val="0"/>
                <w:bCs w:val="0"/>
                <w:sz w:val="24"/>
                <w:szCs w:val="24"/>
                <w:highlight w:val="none"/>
                <w:lang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B.产品发生质量问题一次扣5分</w:t>
            </w:r>
            <w:r>
              <w:rPr>
                <w:rFonts w:hint="eastAsia" w:ascii="宋体" w:hAnsi="宋体" w:eastAsia="宋体" w:cs="宋体"/>
                <w:b w:val="0"/>
                <w:bCs w:val="0"/>
                <w:sz w:val="24"/>
                <w:szCs w:val="24"/>
                <w:highlight w:val="none"/>
                <w:lang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val="0"/>
                <w:bCs w:val="0"/>
                <w:sz w:val="24"/>
                <w:szCs w:val="24"/>
                <w:highlight w:val="none"/>
              </w:rPr>
              <w:t>C.未按照医院要求供货，包括送货单登记不全、票据错误，一次性产品每次供货批次</w:t>
            </w:r>
            <w:r>
              <w:rPr>
                <w:rFonts w:hint="eastAsia" w:ascii="宋体" w:hAnsi="宋体" w:eastAsia="宋体" w:cs="宋体"/>
                <w:b w:val="0"/>
                <w:bCs w:val="0"/>
                <w:sz w:val="24"/>
                <w:szCs w:val="24"/>
                <w:highlight w:val="none"/>
                <w:lang w:eastAsia="zh-CN"/>
              </w:rPr>
              <w:t>超过2个</w:t>
            </w:r>
            <w:r>
              <w:rPr>
                <w:rFonts w:hint="eastAsia" w:ascii="宋体" w:hAnsi="宋体" w:eastAsia="宋体" w:cs="宋体"/>
                <w:b w:val="0"/>
                <w:bCs w:val="0"/>
                <w:sz w:val="24"/>
                <w:szCs w:val="24"/>
                <w:highlight w:val="none"/>
              </w:rPr>
              <w:t>的、一次性产品检验报告未随货同行或提供的批检报告与实物不符或批检报告未加盖供应商的印章等,发生一次扣2分。</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30分</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default" w:ascii="宋体" w:hAnsi="宋体" w:eastAsia="宋体" w:cs="宋体"/>
                <w:i w:val="0"/>
                <w:iCs w:val="0"/>
                <w:color w:val="000000"/>
                <w:kern w:val="2"/>
                <w:sz w:val="22"/>
                <w:szCs w:val="22"/>
                <w:u w:val="none"/>
                <w:lang w:val="en-US" w:eastAsia="zh-CN" w:bidi="ar-SA"/>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b w:val="0"/>
                <w:bCs w:val="0"/>
                <w:sz w:val="24"/>
                <w:szCs w:val="24"/>
                <w:highlight w:val="none"/>
              </w:rPr>
              <w:t>产品的资质证件</w:t>
            </w:r>
          </w:p>
        </w:tc>
        <w:tc>
          <w:tcPr>
            <w:tcW w:w="5820" w:type="dxa"/>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val="0"/>
                <w:bCs w:val="0"/>
                <w:sz w:val="24"/>
                <w:szCs w:val="24"/>
                <w:highlight w:val="none"/>
              </w:rPr>
              <w:t>提供合格的供应商、生产企业以及产品的资质，包括供应商的营业执照、经营许可证、生产厂家有效期内的生产许可证、有效期内的产品注册证(备案文件)等。一项不合格扣5分。</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val="0"/>
                <w:bCs w:val="0"/>
                <w:sz w:val="24"/>
                <w:szCs w:val="24"/>
                <w:highlight w:val="none"/>
              </w:rPr>
              <w:t>20分</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eastAsia="宋体" w:cs="宋体"/>
                <w:i w:val="0"/>
                <w:iCs w:val="0"/>
                <w:color w:val="000000"/>
                <w:kern w:val="2"/>
                <w:sz w:val="22"/>
                <w:szCs w:val="22"/>
                <w:u w:val="none"/>
                <w:lang w:val="en-US" w:eastAsia="zh-CN" w:bidi="ar-SA"/>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 w:val="0"/>
                <w:bCs w:val="0"/>
                <w:sz w:val="24"/>
                <w:szCs w:val="24"/>
                <w:highlight w:val="none"/>
              </w:rPr>
              <w:t>供货情况</w:t>
            </w:r>
          </w:p>
        </w:tc>
        <w:tc>
          <w:tcPr>
            <w:tcW w:w="5820" w:type="dxa"/>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A.未按照采购人提出的供货时间送货，发生一次扣2分</w:t>
            </w:r>
            <w:r>
              <w:rPr>
                <w:rFonts w:hint="eastAsia" w:ascii="宋体" w:hAnsi="宋体" w:eastAsia="宋体" w:cs="宋体"/>
                <w:b w:val="0"/>
                <w:bCs w:val="0"/>
                <w:sz w:val="24"/>
                <w:szCs w:val="24"/>
                <w:highlight w:val="none"/>
                <w:lang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val="0"/>
                <w:bCs w:val="0"/>
                <w:sz w:val="24"/>
                <w:szCs w:val="24"/>
                <w:highlight w:val="none"/>
              </w:rPr>
              <w:t>B.供应商应按采购人通知的产品名称、规格型号、数量供货，多送、少送均视为未按要求送货，发生一次扣2分。</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val="0"/>
                <w:bCs w:val="0"/>
                <w:sz w:val="24"/>
                <w:szCs w:val="24"/>
                <w:highlight w:val="none"/>
              </w:rPr>
              <w:t>30分</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eastAsia="宋体" w:cs="宋体"/>
                <w:i w:val="0"/>
                <w:iCs w:val="0"/>
                <w:color w:val="000000"/>
                <w:kern w:val="2"/>
                <w:sz w:val="22"/>
                <w:szCs w:val="22"/>
                <w:u w:val="none"/>
                <w:lang w:val="en-US" w:eastAsia="zh-CN" w:bidi="ar-SA"/>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val="0"/>
                <w:bCs w:val="0"/>
                <w:sz w:val="24"/>
                <w:szCs w:val="24"/>
                <w:highlight w:val="none"/>
              </w:rPr>
              <w:t>服务情况</w:t>
            </w:r>
          </w:p>
        </w:tc>
        <w:tc>
          <w:tcPr>
            <w:tcW w:w="5820" w:type="dxa"/>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A、货到库房验货中，发生问题时，供应商应积极响应。如产品不符合验收标准，需要退货、换货，供应商未按库房要求及时办理的，发生一次扣2分</w:t>
            </w:r>
            <w:r>
              <w:rPr>
                <w:rFonts w:hint="eastAsia" w:ascii="宋体" w:hAnsi="宋体" w:eastAsia="宋体" w:cs="宋体"/>
                <w:b w:val="0"/>
                <w:bCs w:val="0"/>
                <w:sz w:val="24"/>
                <w:szCs w:val="24"/>
                <w:highlight w:val="none"/>
                <w:lang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B、供应商未按采购人的要求开具送货单、票据的，发生一次扣2分</w:t>
            </w:r>
            <w:r>
              <w:rPr>
                <w:rFonts w:hint="eastAsia" w:ascii="宋体" w:hAnsi="宋体" w:eastAsia="宋体" w:cs="宋体"/>
                <w:b w:val="0"/>
                <w:bCs w:val="0"/>
                <w:sz w:val="24"/>
                <w:szCs w:val="24"/>
                <w:highlight w:val="none"/>
                <w:lang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C、所有产品都必须送达库房，并按要求摆放整齐，违反一次扣2 分</w:t>
            </w:r>
            <w:r>
              <w:rPr>
                <w:rFonts w:hint="eastAsia" w:ascii="宋体" w:hAnsi="宋体" w:eastAsia="宋体" w:cs="宋体"/>
                <w:b w:val="0"/>
                <w:bCs w:val="0"/>
                <w:sz w:val="24"/>
                <w:szCs w:val="24"/>
                <w:highlight w:val="none"/>
                <w:lang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i w:val="0"/>
                <w:iCs w:val="0"/>
                <w:color w:val="000000"/>
                <w:sz w:val="22"/>
                <w:szCs w:val="22"/>
                <w:u w:val="none"/>
              </w:rPr>
            </w:pPr>
            <w:r>
              <w:rPr>
                <w:rFonts w:hint="eastAsia" w:ascii="宋体" w:hAnsi="宋体" w:eastAsia="宋体" w:cs="宋体"/>
                <w:b w:val="0"/>
                <w:bCs w:val="0"/>
                <w:sz w:val="24"/>
                <w:szCs w:val="24"/>
                <w:highlight w:val="none"/>
              </w:rPr>
              <w:t>D、产品在临床使用过程中出现问题，甚至因使用产品导致可疑医疗器械不良事件、医疗纠纷等，供应商应按医院通知的时间到院处理，若供应商不能积极配合妥善处理的，发生一次扣10-15分。</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0分</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eastAsia="宋体" w:cs="宋体"/>
                <w:i w:val="0"/>
                <w:iCs w:val="0"/>
                <w:color w:val="000000"/>
                <w:kern w:val="2"/>
                <w:sz w:val="22"/>
                <w:szCs w:val="22"/>
                <w:u w:val="none"/>
                <w:lang w:val="en-US" w:eastAsia="zh-CN" w:bidi="ar-SA"/>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736" w:type="dxa"/>
            <w:gridSpan w:val="6"/>
            <w:tcBorders>
              <w:top w:val="single" w:color="000000" w:sz="4" w:space="0"/>
              <w:left w:val="single" w:color="000000" w:sz="4" w:space="0"/>
              <w:bottom w:val="single" w:color="000000" w:sz="4" w:space="0"/>
              <w:right w:val="single" w:color="000000" w:sz="4" w:space="0"/>
            </w:tcBorders>
            <w:noWrap/>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b w:val="0"/>
                <w:bCs w:val="0"/>
                <w:sz w:val="24"/>
                <w:szCs w:val="24"/>
                <w:highlight w:val="none"/>
                <w:lang w:eastAsia="zh-CN"/>
              </w:rPr>
            </w:pPr>
            <w:r>
              <w:rPr>
                <w:rFonts w:hint="eastAsia" w:ascii="宋体" w:hAnsi="宋体" w:eastAsia="宋体" w:cs="宋体"/>
                <w:b w:val="0"/>
                <w:bCs w:val="0"/>
                <w:i w:val="0"/>
                <w:iCs w:val="0"/>
                <w:color w:val="000000"/>
                <w:kern w:val="0"/>
                <w:sz w:val="21"/>
                <w:szCs w:val="21"/>
                <w:u w:val="none"/>
                <w:lang w:val="en-US" w:eastAsia="zh-CN" w:bidi="ar"/>
              </w:rPr>
              <w:t>注：1.</w:t>
            </w:r>
            <w:r>
              <w:rPr>
                <w:rFonts w:hint="eastAsia" w:ascii="宋体" w:hAnsi="宋体" w:eastAsia="宋体" w:cs="宋体"/>
                <w:b w:val="0"/>
                <w:bCs w:val="0"/>
                <w:sz w:val="24"/>
                <w:szCs w:val="24"/>
                <w:highlight w:val="none"/>
                <w:lang w:eastAsia="zh-CN"/>
              </w:rPr>
              <w:t>本</w:t>
            </w:r>
            <w:r>
              <w:rPr>
                <w:rFonts w:hint="eastAsia" w:ascii="宋体" w:hAnsi="宋体" w:eastAsia="宋体" w:cs="宋体"/>
                <w:b w:val="0"/>
                <w:bCs w:val="0"/>
                <w:sz w:val="24"/>
                <w:szCs w:val="24"/>
                <w:highlight w:val="none"/>
                <w:lang w:val="en-US" w:eastAsia="zh-CN"/>
              </w:rPr>
              <w:t>考核</w:t>
            </w:r>
            <w:r>
              <w:rPr>
                <w:rFonts w:hint="eastAsia" w:ascii="宋体" w:hAnsi="宋体" w:eastAsia="宋体" w:cs="宋体"/>
                <w:b w:val="0"/>
                <w:bCs w:val="0"/>
                <w:sz w:val="24"/>
                <w:szCs w:val="24"/>
                <w:highlight w:val="none"/>
              </w:rPr>
              <w:t>实行100分制</w:t>
            </w:r>
            <w:r>
              <w:rPr>
                <w:rFonts w:hint="eastAsia" w:ascii="宋体" w:hAnsi="宋体" w:eastAsia="宋体" w:cs="宋体"/>
                <w:b w:val="0"/>
                <w:bCs w:val="0"/>
                <w:sz w:val="24"/>
                <w:szCs w:val="24"/>
                <w:highlight w:val="none"/>
                <w:lang w:eastAsia="zh-CN"/>
              </w:rPr>
              <w:t>；拟每季度对供应商组织一次考核评</w:t>
            </w:r>
            <w:r>
              <w:rPr>
                <w:rFonts w:hint="eastAsia" w:ascii="宋体" w:hAnsi="宋体" w:eastAsia="宋体" w:cs="宋体"/>
                <w:b w:val="0"/>
                <w:bCs w:val="0"/>
                <w:sz w:val="24"/>
                <w:szCs w:val="24"/>
                <w:highlight w:val="none"/>
                <w:lang w:val="en-US" w:eastAsia="zh-CN"/>
              </w:rPr>
              <w:t>分</w:t>
            </w:r>
            <w:r>
              <w:rPr>
                <w:rFonts w:hint="eastAsia" w:ascii="宋体" w:hAnsi="宋体" w:eastAsia="宋体" w:cs="宋体"/>
                <w:b w:val="0"/>
                <w:bCs w:val="0"/>
                <w:sz w:val="24"/>
                <w:szCs w:val="24"/>
                <w:highlight w:val="none"/>
                <w:lang w:eastAsia="zh-CN"/>
              </w:rPr>
              <w:t>，每年度进行综合评估；四个季度的平均</w:t>
            </w:r>
            <w:r>
              <w:rPr>
                <w:rFonts w:hint="eastAsia" w:ascii="宋体" w:hAnsi="宋体" w:eastAsia="宋体" w:cs="宋体"/>
                <w:b w:val="0"/>
                <w:bCs w:val="0"/>
                <w:sz w:val="24"/>
                <w:szCs w:val="24"/>
                <w:highlight w:val="none"/>
                <w:lang w:val="en-US" w:eastAsia="zh-CN"/>
              </w:rPr>
              <w:t>分值</w:t>
            </w:r>
            <w:r>
              <w:rPr>
                <w:rFonts w:hint="eastAsia" w:ascii="宋体" w:hAnsi="宋体" w:eastAsia="宋体" w:cs="宋体"/>
                <w:b w:val="0"/>
                <w:bCs w:val="0"/>
                <w:sz w:val="24"/>
                <w:szCs w:val="24"/>
                <w:highlight w:val="none"/>
                <w:lang w:eastAsia="zh-CN"/>
              </w:rPr>
              <w:t>作为该供应商的年度考核</w:t>
            </w:r>
            <w:r>
              <w:rPr>
                <w:rFonts w:hint="eastAsia" w:ascii="宋体" w:hAnsi="宋体" w:eastAsia="宋体" w:cs="宋体"/>
                <w:b w:val="0"/>
                <w:bCs w:val="0"/>
                <w:sz w:val="24"/>
                <w:szCs w:val="24"/>
                <w:highlight w:val="none"/>
                <w:lang w:val="en-US" w:eastAsia="zh-CN"/>
              </w:rPr>
              <w:t>得分</w:t>
            </w:r>
            <w:r>
              <w:rPr>
                <w:rFonts w:hint="eastAsia" w:ascii="宋体" w:hAnsi="宋体" w:eastAsia="宋体" w:cs="宋体"/>
                <w:b w:val="0"/>
                <w:bCs w:val="0"/>
                <w:sz w:val="24"/>
                <w:szCs w:val="24"/>
                <w:highlight w:val="none"/>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0"/>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sz w:val="24"/>
                <w:szCs w:val="24"/>
                <w:highlight w:val="none"/>
                <w:lang w:val="en-US" w:eastAsia="zh-CN"/>
              </w:rPr>
              <w:t>2.根据供应商年度考核得分，</w:t>
            </w:r>
            <w:r>
              <w:rPr>
                <w:rFonts w:hint="eastAsia" w:ascii="宋体" w:hAnsi="宋体" w:eastAsia="宋体" w:cs="宋体"/>
                <w:b w:val="0"/>
                <w:bCs w:val="0"/>
                <w:sz w:val="24"/>
                <w:szCs w:val="24"/>
                <w:highlight w:val="none"/>
              </w:rPr>
              <w:t>100-95分为优(</w:t>
            </w:r>
            <w:r>
              <w:rPr>
                <w:rFonts w:hint="eastAsia" w:ascii="宋体" w:hAnsi="宋体" w:eastAsia="宋体" w:cs="宋体"/>
                <w:b w:val="0"/>
                <w:bCs w:val="0"/>
                <w:sz w:val="24"/>
                <w:szCs w:val="24"/>
                <w:highlight w:val="none"/>
                <w:lang w:eastAsia="zh-CN"/>
              </w:rPr>
              <w:t>可直接</w:t>
            </w:r>
            <w:r>
              <w:rPr>
                <w:rFonts w:hint="eastAsia" w:ascii="宋体" w:hAnsi="宋体" w:eastAsia="宋体" w:cs="宋体"/>
                <w:b w:val="0"/>
                <w:bCs w:val="0"/>
                <w:sz w:val="24"/>
                <w:szCs w:val="24"/>
                <w:highlight w:val="none"/>
              </w:rPr>
              <w:t>续签)，94-90分为良(约谈</w:t>
            </w:r>
            <w:r>
              <w:rPr>
                <w:rFonts w:hint="eastAsia" w:ascii="宋体" w:hAnsi="宋体" w:eastAsia="宋体" w:cs="宋体"/>
                <w:b w:val="0"/>
                <w:bCs w:val="0"/>
                <w:sz w:val="24"/>
                <w:szCs w:val="24"/>
                <w:highlight w:val="none"/>
                <w:lang w:eastAsia="zh-CN"/>
              </w:rPr>
              <w:t>整改</w:t>
            </w:r>
            <w:r>
              <w:rPr>
                <w:rFonts w:hint="eastAsia" w:ascii="宋体" w:hAnsi="宋体" w:eastAsia="宋体" w:cs="宋体"/>
                <w:b w:val="0"/>
                <w:bCs w:val="0"/>
                <w:sz w:val="24"/>
                <w:szCs w:val="24"/>
                <w:highlight w:val="none"/>
              </w:rPr>
              <w:t>后续签)，89-85分为中(经济处罚</w:t>
            </w:r>
            <w:r>
              <w:rPr>
                <w:rFonts w:hint="eastAsia" w:ascii="宋体" w:hAnsi="宋体" w:eastAsia="宋体" w:cs="宋体"/>
                <w:b w:val="0"/>
                <w:bCs w:val="0"/>
                <w:sz w:val="24"/>
                <w:szCs w:val="24"/>
                <w:highlight w:val="none"/>
                <w:lang w:eastAsia="zh-CN"/>
              </w:rPr>
              <w:t>并整改</w:t>
            </w:r>
            <w:r>
              <w:rPr>
                <w:rFonts w:hint="eastAsia" w:ascii="宋体" w:hAnsi="宋体" w:eastAsia="宋体" w:cs="宋体"/>
                <w:b w:val="0"/>
                <w:bCs w:val="0"/>
                <w:sz w:val="24"/>
                <w:szCs w:val="24"/>
                <w:highlight w:val="none"/>
              </w:rPr>
              <w:t>后续签，具体处罚</w:t>
            </w:r>
            <w:r>
              <w:rPr>
                <w:rFonts w:hint="eastAsia" w:ascii="宋体" w:hAnsi="宋体" w:eastAsia="宋体" w:cs="宋体"/>
                <w:b w:val="0"/>
                <w:bCs w:val="0"/>
                <w:sz w:val="24"/>
                <w:szCs w:val="24"/>
                <w:highlight w:val="none"/>
                <w:lang w:val="en-US" w:eastAsia="zh-CN"/>
              </w:rPr>
              <w:t>标准以</w:t>
            </w:r>
            <w:r>
              <w:rPr>
                <w:rFonts w:hint="eastAsia" w:ascii="宋体" w:hAnsi="宋体" w:eastAsia="宋体" w:cs="宋体"/>
                <w:b w:val="0"/>
                <w:bCs w:val="0"/>
                <w:sz w:val="24"/>
                <w:szCs w:val="24"/>
                <w:highlight w:val="none"/>
              </w:rPr>
              <w:t>合同约定</w:t>
            </w:r>
            <w:r>
              <w:rPr>
                <w:rFonts w:hint="eastAsia" w:ascii="宋体" w:hAnsi="宋体" w:eastAsia="宋体" w:cs="宋体"/>
                <w:b w:val="0"/>
                <w:bCs w:val="0"/>
                <w:sz w:val="24"/>
                <w:szCs w:val="24"/>
                <w:highlight w:val="none"/>
                <w:lang w:val="en-US" w:eastAsia="zh-CN"/>
              </w:rPr>
              <w:t>为准</w:t>
            </w:r>
            <w:r>
              <w:rPr>
                <w:rFonts w:hint="eastAsia" w:ascii="宋体" w:hAnsi="宋体" w:eastAsia="宋体" w:cs="宋体"/>
                <w:b w:val="0"/>
                <w:bCs w:val="0"/>
                <w:sz w:val="24"/>
                <w:szCs w:val="24"/>
                <w:highlight w:val="none"/>
              </w:rPr>
              <w:t>)，85分以下为差(不再续签)。</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3F4AB"/>
    <w:multiLevelType w:val="singleLevel"/>
    <w:tmpl w:val="8A43F4AB"/>
    <w:lvl w:ilvl="0" w:tentative="0">
      <w:start w:val="1"/>
      <w:numFmt w:val="decimal"/>
      <w:lvlText w:val="%1."/>
      <w:lvlJc w:val="left"/>
      <w:pPr>
        <w:ind w:left="425" w:hanging="425"/>
      </w:pPr>
      <w:rPr>
        <w:rFonts w:hint="default"/>
      </w:rPr>
    </w:lvl>
  </w:abstractNum>
  <w:abstractNum w:abstractNumId="1">
    <w:nsid w:val="8D68694D"/>
    <w:multiLevelType w:val="singleLevel"/>
    <w:tmpl w:val="8D68694D"/>
    <w:lvl w:ilvl="0" w:tentative="0">
      <w:start w:val="1"/>
      <w:numFmt w:val="decimal"/>
      <w:lvlText w:val="%1."/>
      <w:lvlJc w:val="left"/>
      <w:pPr>
        <w:ind w:left="425" w:hanging="425"/>
      </w:pPr>
      <w:rPr>
        <w:rFonts w:hint="default"/>
      </w:rPr>
    </w:lvl>
  </w:abstractNum>
  <w:abstractNum w:abstractNumId="2">
    <w:nsid w:val="965D5BB8"/>
    <w:multiLevelType w:val="singleLevel"/>
    <w:tmpl w:val="965D5BB8"/>
    <w:lvl w:ilvl="0" w:tentative="0">
      <w:start w:val="1"/>
      <w:numFmt w:val="decimal"/>
      <w:lvlText w:val="%1."/>
      <w:lvlJc w:val="left"/>
      <w:pPr>
        <w:ind w:left="425" w:hanging="425"/>
      </w:pPr>
      <w:rPr>
        <w:rFonts w:hint="default"/>
      </w:rPr>
    </w:lvl>
  </w:abstractNum>
  <w:abstractNum w:abstractNumId="3">
    <w:nsid w:val="994B4F53"/>
    <w:multiLevelType w:val="singleLevel"/>
    <w:tmpl w:val="994B4F53"/>
    <w:lvl w:ilvl="0" w:tentative="0">
      <w:start w:val="1"/>
      <w:numFmt w:val="decimal"/>
      <w:lvlText w:val="%1."/>
      <w:lvlJc w:val="left"/>
      <w:pPr>
        <w:ind w:left="425" w:hanging="425"/>
      </w:pPr>
      <w:rPr>
        <w:rFonts w:hint="default"/>
      </w:rPr>
    </w:lvl>
  </w:abstractNum>
  <w:abstractNum w:abstractNumId="4">
    <w:nsid w:val="9FE4724D"/>
    <w:multiLevelType w:val="singleLevel"/>
    <w:tmpl w:val="9FE4724D"/>
    <w:lvl w:ilvl="0" w:tentative="0">
      <w:start w:val="3"/>
      <w:numFmt w:val="decimal"/>
      <w:suff w:val="nothing"/>
      <w:lvlText w:val="%1、"/>
      <w:lvlJc w:val="left"/>
    </w:lvl>
  </w:abstractNum>
  <w:abstractNum w:abstractNumId="5">
    <w:nsid w:val="A20D3BA5"/>
    <w:multiLevelType w:val="singleLevel"/>
    <w:tmpl w:val="A20D3BA5"/>
    <w:lvl w:ilvl="0" w:tentative="0">
      <w:start w:val="1"/>
      <w:numFmt w:val="decimal"/>
      <w:lvlText w:val="%1."/>
      <w:lvlJc w:val="left"/>
      <w:pPr>
        <w:ind w:left="425" w:hanging="425"/>
      </w:pPr>
      <w:rPr>
        <w:rFonts w:hint="default"/>
      </w:rPr>
    </w:lvl>
  </w:abstractNum>
  <w:abstractNum w:abstractNumId="6">
    <w:nsid w:val="AB54DF91"/>
    <w:multiLevelType w:val="singleLevel"/>
    <w:tmpl w:val="AB54DF91"/>
    <w:lvl w:ilvl="0" w:tentative="0">
      <w:start w:val="1"/>
      <w:numFmt w:val="decimal"/>
      <w:suff w:val="nothing"/>
      <w:lvlText w:val="%1、"/>
      <w:lvlJc w:val="left"/>
    </w:lvl>
  </w:abstractNum>
  <w:abstractNum w:abstractNumId="7">
    <w:nsid w:val="AFC930D2"/>
    <w:multiLevelType w:val="singleLevel"/>
    <w:tmpl w:val="AFC930D2"/>
    <w:lvl w:ilvl="0" w:tentative="0">
      <w:start w:val="1"/>
      <w:numFmt w:val="decimal"/>
      <w:lvlText w:val="%1."/>
      <w:lvlJc w:val="left"/>
      <w:pPr>
        <w:ind w:left="425" w:hanging="425"/>
      </w:pPr>
      <w:rPr>
        <w:rFonts w:hint="default"/>
      </w:rPr>
    </w:lvl>
  </w:abstractNum>
  <w:abstractNum w:abstractNumId="8">
    <w:nsid w:val="B029C2A0"/>
    <w:multiLevelType w:val="singleLevel"/>
    <w:tmpl w:val="B029C2A0"/>
    <w:lvl w:ilvl="0" w:tentative="0">
      <w:start w:val="1"/>
      <w:numFmt w:val="decimal"/>
      <w:lvlText w:val="%1."/>
      <w:lvlJc w:val="left"/>
      <w:pPr>
        <w:ind w:left="425" w:hanging="425"/>
      </w:pPr>
      <w:rPr>
        <w:rFonts w:hint="default"/>
      </w:rPr>
    </w:lvl>
  </w:abstractNum>
  <w:abstractNum w:abstractNumId="9">
    <w:nsid w:val="B06BB3EC"/>
    <w:multiLevelType w:val="singleLevel"/>
    <w:tmpl w:val="B06BB3EC"/>
    <w:lvl w:ilvl="0" w:tentative="0">
      <w:start w:val="1"/>
      <w:numFmt w:val="decimal"/>
      <w:lvlText w:val="%1."/>
      <w:lvlJc w:val="left"/>
      <w:pPr>
        <w:ind w:left="425" w:hanging="425"/>
      </w:pPr>
      <w:rPr>
        <w:rFonts w:hint="default"/>
      </w:rPr>
    </w:lvl>
  </w:abstractNum>
  <w:abstractNum w:abstractNumId="10">
    <w:nsid w:val="B6143FBE"/>
    <w:multiLevelType w:val="singleLevel"/>
    <w:tmpl w:val="B6143FBE"/>
    <w:lvl w:ilvl="0" w:tentative="0">
      <w:start w:val="1"/>
      <w:numFmt w:val="decimal"/>
      <w:lvlText w:val="%1."/>
      <w:lvlJc w:val="left"/>
      <w:pPr>
        <w:ind w:left="425" w:hanging="425"/>
      </w:pPr>
      <w:rPr>
        <w:rFonts w:hint="default"/>
      </w:rPr>
    </w:lvl>
  </w:abstractNum>
  <w:abstractNum w:abstractNumId="11">
    <w:nsid w:val="C41524CA"/>
    <w:multiLevelType w:val="singleLevel"/>
    <w:tmpl w:val="C41524CA"/>
    <w:lvl w:ilvl="0" w:tentative="0">
      <w:start w:val="1"/>
      <w:numFmt w:val="decimal"/>
      <w:lvlText w:val="%1."/>
      <w:lvlJc w:val="left"/>
      <w:pPr>
        <w:ind w:left="425" w:hanging="425"/>
      </w:pPr>
      <w:rPr>
        <w:rFonts w:hint="default"/>
      </w:rPr>
    </w:lvl>
  </w:abstractNum>
  <w:abstractNum w:abstractNumId="12">
    <w:nsid w:val="C5051286"/>
    <w:multiLevelType w:val="singleLevel"/>
    <w:tmpl w:val="C5051286"/>
    <w:lvl w:ilvl="0" w:tentative="0">
      <w:start w:val="1"/>
      <w:numFmt w:val="decimal"/>
      <w:lvlText w:val="%1."/>
      <w:lvlJc w:val="left"/>
      <w:pPr>
        <w:ind w:left="425" w:hanging="425"/>
      </w:pPr>
      <w:rPr>
        <w:rFonts w:hint="default"/>
      </w:rPr>
    </w:lvl>
  </w:abstractNum>
  <w:abstractNum w:abstractNumId="13">
    <w:nsid w:val="C90994CD"/>
    <w:multiLevelType w:val="singleLevel"/>
    <w:tmpl w:val="C90994CD"/>
    <w:lvl w:ilvl="0" w:tentative="0">
      <w:start w:val="1"/>
      <w:numFmt w:val="chineseCounting"/>
      <w:suff w:val="nothing"/>
      <w:lvlText w:val="%1、"/>
      <w:lvlJc w:val="left"/>
      <w:rPr>
        <w:rFonts w:hint="eastAsia"/>
      </w:rPr>
    </w:lvl>
  </w:abstractNum>
  <w:abstractNum w:abstractNumId="14">
    <w:nsid w:val="CBA98D40"/>
    <w:multiLevelType w:val="singleLevel"/>
    <w:tmpl w:val="CBA98D40"/>
    <w:lvl w:ilvl="0" w:tentative="0">
      <w:start w:val="1"/>
      <w:numFmt w:val="decimal"/>
      <w:lvlText w:val="%1."/>
      <w:lvlJc w:val="left"/>
      <w:pPr>
        <w:ind w:left="425" w:hanging="425"/>
      </w:pPr>
      <w:rPr>
        <w:rFonts w:hint="default"/>
      </w:rPr>
    </w:lvl>
  </w:abstractNum>
  <w:abstractNum w:abstractNumId="15">
    <w:nsid w:val="D08B5489"/>
    <w:multiLevelType w:val="singleLevel"/>
    <w:tmpl w:val="D08B5489"/>
    <w:lvl w:ilvl="0" w:tentative="0">
      <w:start w:val="1"/>
      <w:numFmt w:val="decimal"/>
      <w:lvlText w:val="%1."/>
      <w:lvlJc w:val="left"/>
      <w:pPr>
        <w:ind w:left="425" w:hanging="425"/>
      </w:pPr>
      <w:rPr>
        <w:rFonts w:hint="default"/>
      </w:rPr>
    </w:lvl>
  </w:abstractNum>
  <w:abstractNum w:abstractNumId="16">
    <w:nsid w:val="D0D8653E"/>
    <w:multiLevelType w:val="singleLevel"/>
    <w:tmpl w:val="D0D8653E"/>
    <w:lvl w:ilvl="0" w:tentative="0">
      <w:start w:val="1"/>
      <w:numFmt w:val="decimal"/>
      <w:lvlText w:val="%1."/>
      <w:lvlJc w:val="left"/>
      <w:pPr>
        <w:ind w:left="425" w:hanging="425"/>
      </w:pPr>
      <w:rPr>
        <w:rFonts w:hint="default"/>
      </w:rPr>
    </w:lvl>
  </w:abstractNum>
  <w:abstractNum w:abstractNumId="17">
    <w:nsid w:val="D34BB30B"/>
    <w:multiLevelType w:val="singleLevel"/>
    <w:tmpl w:val="D34BB30B"/>
    <w:lvl w:ilvl="0" w:tentative="0">
      <w:start w:val="1"/>
      <w:numFmt w:val="decimal"/>
      <w:lvlText w:val="%1."/>
      <w:lvlJc w:val="left"/>
      <w:pPr>
        <w:ind w:left="425" w:hanging="425"/>
      </w:pPr>
      <w:rPr>
        <w:rFonts w:hint="default"/>
      </w:rPr>
    </w:lvl>
  </w:abstractNum>
  <w:abstractNum w:abstractNumId="18">
    <w:nsid w:val="D5A89D0C"/>
    <w:multiLevelType w:val="singleLevel"/>
    <w:tmpl w:val="D5A89D0C"/>
    <w:lvl w:ilvl="0" w:tentative="0">
      <w:start w:val="1"/>
      <w:numFmt w:val="decimal"/>
      <w:lvlText w:val="%1."/>
      <w:lvlJc w:val="left"/>
      <w:pPr>
        <w:ind w:left="425" w:hanging="425"/>
      </w:pPr>
      <w:rPr>
        <w:rFonts w:hint="default"/>
      </w:rPr>
    </w:lvl>
  </w:abstractNum>
  <w:abstractNum w:abstractNumId="19">
    <w:nsid w:val="DC7CF44B"/>
    <w:multiLevelType w:val="singleLevel"/>
    <w:tmpl w:val="DC7CF44B"/>
    <w:lvl w:ilvl="0" w:tentative="0">
      <w:start w:val="1"/>
      <w:numFmt w:val="decimal"/>
      <w:lvlText w:val="%1."/>
      <w:lvlJc w:val="left"/>
      <w:pPr>
        <w:ind w:left="425" w:hanging="425"/>
      </w:pPr>
      <w:rPr>
        <w:rFonts w:hint="default"/>
      </w:rPr>
    </w:lvl>
  </w:abstractNum>
  <w:abstractNum w:abstractNumId="20">
    <w:nsid w:val="DDBCD6D2"/>
    <w:multiLevelType w:val="singleLevel"/>
    <w:tmpl w:val="DDBCD6D2"/>
    <w:lvl w:ilvl="0" w:tentative="0">
      <w:start w:val="1"/>
      <w:numFmt w:val="decimal"/>
      <w:lvlText w:val="%1."/>
      <w:lvlJc w:val="left"/>
      <w:pPr>
        <w:ind w:left="425" w:hanging="425"/>
      </w:pPr>
      <w:rPr>
        <w:rFonts w:hint="default"/>
      </w:rPr>
    </w:lvl>
  </w:abstractNum>
  <w:abstractNum w:abstractNumId="21">
    <w:nsid w:val="DEEECD6C"/>
    <w:multiLevelType w:val="singleLevel"/>
    <w:tmpl w:val="DEEECD6C"/>
    <w:lvl w:ilvl="0" w:tentative="0">
      <w:start w:val="1"/>
      <w:numFmt w:val="decimal"/>
      <w:lvlText w:val="%1."/>
      <w:lvlJc w:val="left"/>
      <w:pPr>
        <w:ind w:left="425" w:hanging="425"/>
      </w:pPr>
      <w:rPr>
        <w:rFonts w:hint="default"/>
      </w:rPr>
    </w:lvl>
  </w:abstractNum>
  <w:abstractNum w:abstractNumId="22">
    <w:nsid w:val="E41A26AA"/>
    <w:multiLevelType w:val="singleLevel"/>
    <w:tmpl w:val="E41A26AA"/>
    <w:lvl w:ilvl="0" w:tentative="0">
      <w:start w:val="1"/>
      <w:numFmt w:val="decimal"/>
      <w:lvlText w:val="%1."/>
      <w:lvlJc w:val="left"/>
      <w:pPr>
        <w:ind w:left="425" w:hanging="425"/>
      </w:pPr>
      <w:rPr>
        <w:rFonts w:hint="default"/>
      </w:rPr>
    </w:lvl>
  </w:abstractNum>
  <w:abstractNum w:abstractNumId="23">
    <w:nsid w:val="EA854038"/>
    <w:multiLevelType w:val="singleLevel"/>
    <w:tmpl w:val="EA854038"/>
    <w:lvl w:ilvl="0" w:tentative="0">
      <w:start w:val="1"/>
      <w:numFmt w:val="decimal"/>
      <w:lvlText w:val="%1."/>
      <w:lvlJc w:val="left"/>
      <w:pPr>
        <w:ind w:left="425" w:hanging="425"/>
      </w:pPr>
      <w:rPr>
        <w:rFonts w:hint="default"/>
      </w:rPr>
    </w:lvl>
  </w:abstractNum>
  <w:abstractNum w:abstractNumId="24">
    <w:nsid w:val="F0D4ECB6"/>
    <w:multiLevelType w:val="singleLevel"/>
    <w:tmpl w:val="F0D4ECB6"/>
    <w:lvl w:ilvl="0" w:tentative="0">
      <w:start w:val="1"/>
      <w:numFmt w:val="decimal"/>
      <w:lvlText w:val="%1."/>
      <w:lvlJc w:val="left"/>
      <w:pPr>
        <w:ind w:left="425" w:hanging="425"/>
      </w:pPr>
      <w:rPr>
        <w:rFonts w:hint="default"/>
      </w:rPr>
    </w:lvl>
  </w:abstractNum>
  <w:abstractNum w:abstractNumId="25">
    <w:nsid w:val="F18B767A"/>
    <w:multiLevelType w:val="singleLevel"/>
    <w:tmpl w:val="F18B767A"/>
    <w:lvl w:ilvl="0" w:tentative="0">
      <w:start w:val="1"/>
      <w:numFmt w:val="decimal"/>
      <w:lvlText w:val="%1."/>
      <w:lvlJc w:val="left"/>
      <w:pPr>
        <w:ind w:left="425" w:hanging="425"/>
      </w:pPr>
      <w:rPr>
        <w:rFonts w:hint="default"/>
      </w:rPr>
    </w:lvl>
  </w:abstractNum>
  <w:abstractNum w:abstractNumId="26">
    <w:nsid w:val="FDE13DDC"/>
    <w:multiLevelType w:val="singleLevel"/>
    <w:tmpl w:val="FDE13DDC"/>
    <w:lvl w:ilvl="0" w:tentative="0">
      <w:start w:val="1"/>
      <w:numFmt w:val="decimal"/>
      <w:lvlText w:val="%1."/>
      <w:lvlJc w:val="left"/>
      <w:pPr>
        <w:ind w:left="425" w:hanging="425"/>
      </w:pPr>
      <w:rPr>
        <w:rFonts w:hint="default"/>
      </w:rPr>
    </w:lvl>
  </w:abstractNum>
  <w:abstractNum w:abstractNumId="27">
    <w:nsid w:val="085E8A58"/>
    <w:multiLevelType w:val="singleLevel"/>
    <w:tmpl w:val="085E8A58"/>
    <w:lvl w:ilvl="0" w:tentative="0">
      <w:start w:val="1"/>
      <w:numFmt w:val="decimal"/>
      <w:lvlText w:val="%1."/>
      <w:lvlJc w:val="left"/>
      <w:pPr>
        <w:ind w:left="425" w:hanging="425"/>
      </w:pPr>
      <w:rPr>
        <w:rFonts w:hint="default"/>
      </w:rPr>
    </w:lvl>
  </w:abstractNum>
  <w:abstractNum w:abstractNumId="28">
    <w:nsid w:val="126B7468"/>
    <w:multiLevelType w:val="singleLevel"/>
    <w:tmpl w:val="126B7468"/>
    <w:lvl w:ilvl="0" w:tentative="0">
      <w:start w:val="1"/>
      <w:numFmt w:val="decimal"/>
      <w:lvlText w:val="%1."/>
      <w:lvlJc w:val="left"/>
      <w:pPr>
        <w:ind w:left="425" w:hanging="425"/>
      </w:pPr>
      <w:rPr>
        <w:rFonts w:hint="default"/>
      </w:rPr>
    </w:lvl>
  </w:abstractNum>
  <w:abstractNum w:abstractNumId="29">
    <w:nsid w:val="12F305EC"/>
    <w:multiLevelType w:val="singleLevel"/>
    <w:tmpl w:val="12F305EC"/>
    <w:lvl w:ilvl="0" w:tentative="0">
      <w:start w:val="1"/>
      <w:numFmt w:val="decimal"/>
      <w:lvlText w:val="%1."/>
      <w:lvlJc w:val="left"/>
      <w:pPr>
        <w:ind w:left="425" w:hanging="425"/>
      </w:pPr>
      <w:rPr>
        <w:rFonts w:hint="default"/>
      </w:rPr>
    </w:lvl>
  </w:abstractNum>
  <w:abstractNum w:abstractNumId="30">
    <w:nsid w:val="145643CE"/>
    <w:multiLevelType w:val="singleLevel"/>
    <w:tmpl w:val="145643CE"/>
    <w:lvl w:ilvl="0" w:tentative="0">
      <w:start w:val="1"/>
      <w:numFmt w:val="decimal"/>
      <w:lvlText w:val="%1."/>
      <w:lvlJc w:val="left"/>
      <w:pPr>
        <w:ind w:left="425" w:hanging="425"/>
      </w:pPr>
      <w:rPr>
        <w:rFonts w:hint="default"/>
      </w:rPr>
    </w:lvl>
  </w:abstractNum>
  <w:abstractNum w:abstractNumId="31">
    <w:nsid w:val="2733919A"/>
    <w:multiLevelType w:val="singleLevel"/>
    <w:tmpl w:val="2733919A"/>
    <w:lvl w:ilvl="0" w:tentative="0">
      <w:start w:val="1"/>
      <w:numFmt w:val="decimal"/>
      <w:lvlText w:val="%1."/>
      <w:lvlJc w:val="left"/>
      <w:pPr>
        <w:ind w:left="425" w:hanging="425"/>
      </w:pPr>
      <w:rPr>
        <w:rFonts w:hint="default"/>
      </w:rPr>
    </w:lvl>
  </w:abstractNum>
  <w:abstractNum w:abstractNumId="32">
    <w:nsid w:val="27B8A6FE"/>
    <w:multiLevelType w:val="singleLevel"/>
    <w:tmpl w:val="27B8A6FE"/>
    <w:lvl w:ilvl="0" w:tentative="0">
      <w:start w:val="4"/>
      <w:numFmt w:val="decimal"/>
      <w:suff w:val="nothing"/>
      <w:lvlText w:val="%1、"/>
      <w:lvlJc w:val="left"/>
    </w:lvl>
  </w:abstractNum>
  <w:abstractNum w:abstractNumId="33">
    <w:nsid w:val="28E6963F"/>
    <w:multiLevelType w:val="singleLevel"/>
    <w:tmpl w:val="28E6963F"/>
    <w:lvl w:ilvl="0" w:tentative="0">
      <w:start w:val="1"/>
      <w:numFmt w:val="decimal"/>
      <w:lvlText w:val="%1."/>
      <w:lvlJc w:val="left"/>
      <w:pPr>
        <w:ind w:left="425" w:hanging="425"/>
      </w:pPr>
      <w:rPr>
        <w:rFonts w:hint="default"/>
      </w:rPr>
    </w:lvl>
  </w:abstractNum>
  <w:abstractNum w:abstractNumId="34">
    <w:nsid w:val="2A2FAA86"/>
    <w:multiLevelType w:val="singleLevel"/>
    <w:tmpl w:val="2A2FAA86"/>
    <w:lvl w:ilvl="0" w:tentative="0">
      <w:start w:val="1"/>
      <w:numFmt w:val="decimal"/>
      <w:lvlText w:val="%1."/>
      <w:lvlJc w:val="left"/>
      <w:pPr>
        <w:ind w:left="425" w:hanging="425"/>
      </w:pPr>
      <w:rPr>
        <w:rFonts w:hint="default"/>
      </w:rPr>
    </w:lvl>
  </w:abstractNum>
  <w:abstractNum w:abstractNumId="35">
    <w:nsid w:val="2F1DE51C"/>
    <w:multiLevelType w:val="singleLevel"/>
    <w:tmpl w:val="2F1DE51C"/>
    <w:lvl w:ilvl="0" w:tentative="0">
      <w:start w:val="1"/>
      <w:numFmt w:val="decimal"/>
      <w:lvlText w:val="%1."/>
      <w:lvlJc w:val="left"/>
      <w:pPr>
        <w:ind w:left="425" w:hanging="425"/>
      </w:pPr>
      <w:rPr>
        <w:rFonts w:hint="default"/>
      </w:rPr>
    </w:lvl>
  </w:abstractNum>
  <w:abstractNum w:abstractNumId="36">
    <w:nsid w:val="30598512"/>
    <w:multiLevelType w:val="singleLevel"/>
    <w:tmpl w:val="30598512"/>
    <w:lvl w:ilvl="0" w:tentative="0">
      <w:start w:val="1"/>
      <w:numFmt w:val="decimal"/>
      <w:lvlText w:val="%1."/>
      <w:lvlJc w:val="left"/>
      <w:pPr>
        <w:ind w:left="425" w:hanging="425"/>
      </w:pPr>
      <w:rPr>
        <w:rFonts w:hint="default"/>
      </w:rPr>
    </w:lvl>
  </w:abstractNum>
  <w:abstractNum w:abstractNumId="37">
    <w:nsid w:val="332CA2DE"/>
    <w:multiLevelType w:val="singleLevel"/>
    <w:tmpl w:val="332CA2DE"/>
    <w:lvl w:ilvl="0" w:tentative="0">
      <w:start w:val="1"/>
      <w:numFmt w:val="decimal"/>
      <w:lvlText w:val="%1."/>
      <w:lvlJc w:val="left"/>
      <w:pPr>
        <w:ind w:left="425" w:hanging="425"/>
      </w:pPr>
      <w:rPr>
        <w:rFonts w:hint="default"/>
      </w:rPr>
    </w:lvl>
  </w:abstractNum>
  <w:abstractNum w:abstractNumId="38">
    <w:nsid w:val="3E5A4819"/>
    <w:multiLevelType w:val="singleLevel"/>
    <w:tmpl w:val="3E5A4819"/>
    <w:lvl w:ilvl="0" w:tentative="0">
      <w:start w:val="1"/>
      <w:numFmt w:val="decimal"/>
      <w:lvlText w:val="%1."/>
      <w:lvlJc w:val="left"/>
      <w:pPr>
        <w:ind w:left="425" w:hanging="425"/>
      </w:pPr>
      <w:rPr>
        <w:rFonts w:hint="default"/>
      </w:rPr>
    </w:lvl>
  </w:abstractNum>
  <w:abstractNum w:abstractNumId="39">
    <w:nsid w:val="406C481B"/>
    <w:multiLevelType w:val="singleLevel"/>
    <w:tmpl w:val="406C481B"/>
    <w:lvl w:ilvl="0" w:tentative="0">
      <w:start w:val="1"/>
      <w:numFmt w:val="decimal"/>
      <w:lvlText w:val="%1."/>
      <w:lvlJc w:val="left"/>
      <w:pPr>
        <w:ind w:left="425" w:hanging="425"/>
      </w:pPr>
      <w:rPr>
        <w:rFonts w:hint="default"/>
      </w:rPr>
    </w:lvl>
  </w:abstractNum>
  <w:abstractNum w:abstractNumId="40">
    <w:nsid w:val="46F88E65"/>
    <w:multiLevelType w:val="singleLevel"/>
    <w:tmpl w:val="46F88E65"/>
    <w:lvl w:ilvl="0" w:tentative="0">
      <w:start w:val="1"/>
      <w:numFmt w:val="decimal"/>
      <w:lvlText w:val="%1."/>
      <w:lvlJc w:val="left"/>
      <w:pPr>
        <w:ind w:left="425" w:hanging="425"/>
      </w:pPr>
      <w:rPr>
        <w:rFonts w:hint="default"/>
      </w:rPr>
    </w:lvl>
  </w:abstractNum>
  <w:abstractNum w:abstractNumId="41">
    <w:nsid w:val="4B0710C8"/>
    <w:multiLevelType w:val="singleLevel"/>
    <w:tmpl w:val="4B0710C8"/>
    <w:lvl w:ilvl="0" w:tentative="0">
      <w:start w:val="1"/>
      <w:numFmt w:val="decimal"/>
      <w:lvlText w:val="%1."/>
      <w:lvlJc w:val="left"/>
      <w:pPr>
        <w:ind w:left="425" w:hanging="425"/>
      </w:pPr>
      <w:rPr>
        <w:rFonts w:hint="default"/>
      </w:rPr>
    </w:lvl>
  </w:abstractNum>
  <w:abstractNum w:abstractNumId="42">
    <w:nsid w:val="525B86FE"/>
    <w:multiLevelType w:val="singleLevel"/>
    <w:tmpl w:val="525B86FE"/>
    <w:lvl w:ilvl="0" w:tentative="0">
      <w:start w:val="1"/>
      <w:numFmt w:val="decimal"/>
      <w:lvlText w:val="%1."/>
      <w:lvlJc w:val="left"/>
      <w:pPr>
        <w:ind w:left="425" w:hanging="425"/>
      </w:pPr>
      <w:rPr>
        <w:rFonts w:hint="default"/>
      </w:rPr>
    </w:lvl>
  </w:abstractNum>
  <w:abstractNum w:abstractNumId="43">
    <w:nsid w:val="5441E8A8"/>
    <w:multiLevelType w:val="singleLevel"/>
    <w:tmpl w:val="5441E8A8"/>
    <w:lvl w:ilvl="0" w:tentative="0">
      <w:start w:val="1"/>
      <w:numFmt w:val="decimal"/>
      <w:lvlText w:val="%1."/>
      <w:lvlJc w:val="left"/>
      <w:pPr>
        <w:ind w:left="425" w:hanging="425"/>
      </w:pPr>
      <w:rPr>
        <w:rFonts w:hint="default"/>
      </w:rPr>
    </w:lvl>
  </w:abstractNum>
  <w:abstractNum w:abstractNumId="44">
    <w:nsid w:val="5BC7F1B7"/>
    <w:multiLevelType w:val="singleLevel"/>
    <w:tmpl w:val="5BC7F1B7"/>
    <w:lvl w:ilvl="0" w:tentative="0">
      <w:start w:val="1"/>
      <w:numFmt w:val="decimal"/>
      <w:lvlText w:val="%1."/>
      <w:lvlJc w:val="left"/>
      <w:pPr>
        <w:ind w:left="425" w:hanging="425"/>
      </w:pPr>
      <w:rPr>
        <w:rFonts w:hint="default"/>
      </w:rPr>
    </w:lvl>
  </w:abstractNum>
  <w:abstractNum w:abstractNumId="45">
    <w:nsid w:val="5DF21887"/>
    <w:multiLevelType w:val="singleLevel"/>
    <w:tmpl w:val="5DF21887"/>
    <w:lvl w:ilvl="0" w:tentative="0">
      <w:start w:val="1"/>
      <w:numFmt w:val="decimal"/>
      <w:lvlText w:val="%1."/>
      <w:lvlJc w:val="left"/>
      <w:pPr>
        <w:ind w:left="425" w:hanging="425"/>
      </w:pPr>
      <w:rPr>
        <w:rFonts w:hint="default"/>
      </w:rPr>
    </w:lvl>
  </w:abstractNum>
  <w:abstractNum w:abstractNumId="46">
    <w:nsid w:val="603E4855"/>
    <w:multiLevelType w:val="singleLevel"/>
    <w:tmpl w:val="603E4855"/>
    <w:lvl w:ilvl="0" w:tentative="0">
      <w:start w:val="1"/>
      <w:numFmt w:val="decimal"/>
      <w:lvlText w:val="%1."/>
      <w:lvlJc w:val="left"/>
      <w:pPr>
        <w:ind w:left="425" w:hanging="425"/>
      </w:pPr>
      <w:rPr>
        <w:rFonts w:hint="default"/>
      </w:rPr>
    </w:lvl>
  </w:abstractNum>
  <w:abstractNum w:abstractNumId="47">
    <w:nsid w:val="68323F47"/>
    <w:multiLevelType w:val="singleLevel"/>
    <w:tmpl w:val="68323F47"/>
    <w:lvl w:ilvl="0" w:tentative="0">
      <w:start w:val="1"/>
      <w:numFmt w:val="decimal"/>
      <w:lvlText w:val="%1."/>
      <w:lvlJc w:val="left"/>
      <w:pPr>
        <w:ind w:left="425" w:hanging="425"/>
      </w:pPr>
      <w:rPr>
        <w:rFonts w:hint="default"/>
      </w:rPr>
    </w:lvl>
  </w:abstractNum>
  <w:abstractNum w:abstractNumId="48">
    <w:nsid w:val="6CB400AA"/>
    <w:multiLevelType w:val="singleLevel"/>
    <w:tmpl w:val="6CB400AA"/>
    <w:lvl w:ilvl="0" w:tentative="0">
      <w:start w:val="1"/>
      <w:numFmt w:val="decimal"/>
      <w:lvlText w:val="%1."/>
      <w:lvlJc w:val="left"/>
      <w:pPr>
        <w:ind w:left="425" w:hanging="425"/>
      </w:pPr>
      <w:rPr>
        <w:rFonts w:hint="default"/>
      </w:rPr>
    </w:lvl>
  </w:abstractNum>
  <w:abstractNum w:abstractNumId="49">
    <w:nsid w:val="74ACB771"/>
    <w:multiLevelType w:val="singleLevel"/>
    <w:tmpl w:val="74ACB771"/>
    <w:lvl w:ilvl="0" w:tentative="0">
      <w:start w:val="1"/>
      <w:numFmt w:val="decimal"/>
      <w:lvlText w:val="%1."/>
      <w:lvlJc w:val="left"/>
      <w:pPr>
        <w:ind w:left="425" w:hanging="425"/>
      </w:pPr>
      <w:rPr>
        <w:rFonts w:hint="default"/>
      </w:rPr>
    </w:lvl>
  </w:abstractNum>
  <w:num w:numId="1">
    <w:abstractNumId w:val="13"/>
  </w:num>
  <w:num w:numId="2">
    <w:abstractNumId w:val="7"/>
  </w:num>
  <w:num w:numId="3">
    <w:abstractNumId w:val="40"/>
  </w:num>
  <w:num w:numId="4">
    <w:abstractNumId w:val="45"/>
  </w:num>
  <w:num w:numId="5">
    <w:abstractNumId w:val="47"/>
  </w:num>
  <w:num w:numId="6">
    <w:abstractNumId w:val="23"/>
  </w:num>
  <w:num w:numId="7">
    <w:abstractNumId w:val="21"/>
  </w:num>
  <w:num w:numId="8">
    <w:abstractNumId w:val="46"/>
  </w:num>
  <w:num w:numId="9">
    <w:abstractNumId w:val="37"/>
  </w:num>
  <w:num w:numId="10">
    <w:abstractNumId w:val="16"/>
  </w:num>
  <w:num w:numId="11">
    <w:abstractNumId w:val="35"/>
  </w:num>
  <w:num w:numId="12">
    <w:abstractNumId w:val="24"/>
  </w:num>
  <w:num w:numId="13">
    <w:abstractNumId w:val="19"/>
  </w:num>
  <w:num w:numId="14">
    <w:abstractNumId w:val="33"/>
  </w:num>
  <w:num w:numId="15">
    <w:abstractNumId w:val="38"/>
  </w:num>
  <w:num w:numId="16">
    <w:abstractNumId w:val="43"/>
  </w:num>
  <w:num w:numId="17">
    <w:abstractNumId w:val="17"/>
  </w:num>
  <w:num w:numId="18">
    <w:abstractNumId w:val="22"/>
  </w:num>
  <w:num w:numId="19">
    <w:abstractNumId w:val="28"/>
  </w:num>
  <w:num w:numId="20">
    <w:abstractNumId w:val="48"/>
  </w:num>
  <w:num w:numId="21">
    <w:abstractNumId w:val="27"/>
  </w:num>
  <w:num w:numId="22">
    <w:abstractNumId w:val="42"/>
  </w:num>
  <w:num w:numId="23">
    <w:abstractNumId w:val="30"/>
  </w:num>
  <w:num w:numId="24">
    <w:abstractNumId w:val="2"/>
  </w:num>
  <w:num w:numId="25">
    <w:abstractNumId w:val="12"/>
  </w:num>
  <w:num w:numId="26">
    <w:abstractNumId w:val="11"/>
  </w:num>
  <w:num w:numId="27">
    <w:abstractNumId w:val="18"/>
  </w:num>
  <w:num w:numId="28">
    <w:abstractNumId w:val="26"/>
  </w:num>
  <w:num w:numId="29">
    <w:abstractNumId w:val="41"/>
  </w:num>
  <w:num w:numId="30">
    <w:abstractNumId w:val="34"/>
  </w:num>
  <w:num w:numId="31">
    <w:abstractNumId w:val="9"/>
  </w:num>
  <w:num w:numId="32">
    <w:abstractNumId w:val="39"/>
  </w:num>
  <w:num w:numId="33">
    <w:abstractNumId w:val="49"/>
  </w:num>
  <w:num w:numId="34">
    <w:abstractNumId w:val="10"/>
  </w:num>
  <w:num w:numId="35">
    <w:abstractNumId w:val="1"/>
  </w:num>
  <w:num w:numId="36">
    <w:abstractNumId w:val="3"/>
  </w:num>
  <w:num w:numId="37">
    <w:abstractNumId w:val="29"/>
  </w:num>
  <w:num w:numId="38">
    <w:abstractNumId w:val="20"/>
  </w:num>
  <w:num w:numId="39">
    <w:abstractNumId w:val="0"/>
  </w:num>
  <w:num w:numId="40">
    <w:abstractNumId w:val="31"/>
  </w:num>
  <w:num w:numId="41">
    <w:abstractNumId w:val="36"/>
  </w:num>
  <w:num w:numId="42">
    <w:abstractNumId w:val="8"/>
  </w:num>
  <w:num w:numId="43">
    <w:abstractNumId w:val="44"/>
  </w:num>
  <w:num w:numId="44">
    <w:abstractNumId w:val="25"/>
  </w:num>
  <w:num w:numId="45">
    <w:abstractNumId w:val="5"/>
  </w:num>
  <w:num w:numId="46">
    <w:abstractNumId w:val="14"/>
  </w:num>
  <w:num w:numId="47">
    <w:abstractNumId w:val="15"/>
  </w:num>
  <w:num w:numId="48">
    <w:abstractNumId w:val="32"/>
  </w:num>
  <w:num w:numId="49">
    <w:abstractNumId w:val="6"/>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kMTY0NzdhNDdiY2NhOWU0NmZhYWRjMjA2NDg5NTYifQ=="/>
  </w:docVars>
  <w:rsids>
    <w:rsidRoot w:val="00000000"/>
    <w:rsid w:val="58805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32"/>
      <w:szCs w:val="3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spacing w:after="120"/>
    </w:pPr>
    <w:rPr>
      <w:rFonts w:ascii="Times New Roman" w:hAnsi="Times New Roman"/>
      <w:sz w:val="21"/>
      <w:szCs w:val="24"/>
    </w:rPr>
  </w:style>
  <w:style w:type="paragraph" w:styleId="3">
    <w:name w:val="Subtitle"/>
    <w:basedOn w:val="1"/>
    <w:next w:val="1"/>
    <w:qFormat/>
    <w:uiPriority w:val="0"/>
    <w:pPr>
      <w:spacing w:before="240" w:after="60" w:line="312" w:lineRule="auto"/>
      <w:jc w:val="center"/>
      <w:outlineLvl w:val="1"/>
    </w:pPr>
    <w:rPr>
      <w:rFonts w:ascii="Cambria" w:hAnsi="Cambria" w:eastAsia="Times New Roman"/>
      <w:b/>
      <w:bCs/>
      <w:kern w:val="28"/>
      <w:sz w:val="32"/>
      <w:szCs w:val="32"/>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Title"/>
    <w:basedOn w:val="1"/>
    <w:next w:val="1"/>
    <w:qFormat/>
    <w:uiPriority w:val="0"/>
    <w:pPr>
      <w:spacing w:before="240" w:after="60"/>
      <w:jc w:val="center"/>
      <w:outlineLvl w:val="0"/>
    </w:pPr>
    <w:rPr>
      <w:rFonts w:ascii="Cambria" w:hAnsi="Cambria"/>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2024-07-22T03:41:08Z</dcterms:created>
  <dc:creator>Administrator</dc:creator>
  <cp:lastModifiedBy>木槿何溪°°</cp:lastModifiedBy>
  <dcterms:modified xsi:type="dcterms:W3CDTF">2024-07-22T03:42:49Z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52DC2C579BB64F1FB1C6961F70F3C7F7_12</vt:lpwstr>
  </property>
</Properties>
</file>