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AAE35">
      <w:pPr>
        <w:pStyle w:val="40"/>
        <w:pageBreakBefore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bookmarkStart w:id="0" w:name="_Toc6583"/>
      <w:r>
        <w:rPr>
          <w:rFonts w:hint="eastAsia"/>
          <w:b/>
          <w:bCs/>
          <w:sz w:val="44"/>
          <w:szCs w:val="44"/>
          <w:lang w:val="en-US" w:eastAsia="zh-CN"/>
        </w:rPr>
        <w:t>巴中市中医院（巴中市巴州区人民医院）</w:t>
      </w:r>
    </w:p>
    <w:p w14:paraId="25350063">
      <w:pPr>
        <w:pStyle w:val="40"/>
        <w:pageBreakBefore w:val="0"/>
        <w:kinsoku/>
        <w:wordWrap/>
        <w:overflowPunct/>
        <w:topLinePunct w:val="0"/>
        <w:autoSpaceDE/>
        <w:autoSpaceDN/>
        <w:bidi w:val="0"/>
        <w:adjustRightInd/>
        <w:snapToGrid/>
        <w:spacing w:line="560" w:lineRule="exact"/>
        <w:jc w:val="center"/>
        <w:textAlignment w:val="auto"/>
        <w:rPr>
          <w:rFonts w:hint="eastAsia"/>
          <w:b/>
          <w:bCs/>
          <w:sz w:val="44"/>
          <w:szCs w:val="44"/>
        </w:rPr>
      </w:pPr>
      <w:r>
        <w:rPr>
          <w:rFonts w:hint="eastAsia"/>
          <w:b/>
          <w:bCs/>
          <w:sz w:val="44"/>
          <w:szCs w:val="44"/>
        </w:rPr>
        <w:t>基于RBRVS的绩效管理咨询服务及配套软件</w:t>
      </w:r>
    </w:p>
    <w:p w14:paraId="6A384AE3">
      <w:pPr>
        <w:pStyle w:val="40"/>
        <w:pageBreakBefore w:val="0"/>
        <w:kinsoku/>
        <w:wordWrap/>
        <w:overflowPunct/>
        <w:topLinePunct w:val="0"/>
        <w:autoSpaceDE/>
        <w:autoSpaceDN/>
        <w:bidi w:val="0"/>
        <w:adjustRightInd/>
        <w:snapToGrid/>
        <w:spacing w:line="560" w:lineRule="exact"/>
        <w:jc w:val="center"/>
        <w:textAlignment w:val="auto"/>
        <w:rPr>
          <w:b/>
          <w:bCs/>
          <w:sz w:val="48"/>
          <w:szCs w:val="44"/>
        </w:rPr>
      </w:pPr>
      <w:r>
        <w:rPr>
          <w:rFonts w:hint="eastAsia"/>
          <w:b/>
          <w:bCs/>
          <w:sz w:val="44"/>
          <w:szCs w:val="44"/>
        </w:rPr>
        <w:t>系统</w:t>
      </w:r>
      <w:r>
        <w:rPr>
          <w:rFonts w:hint="eastAsia"/>
          <w:b/>
          <w:bCs/>
          <w:sz w:val="44"/>
          <w:szCs w:val="44"/>
          <w:lang w:val="en-US" w:eastAsia="zh-CN"/>
        </w:rPr>
        <w:t>采购</w:t>
      </w:r>
      <w:r>
        <w:rPr>
          <w:rFonts w:hint="eastAsia"/>
          <w:b/>
          <w:bCs/>
          <w:sz w:val="44"/>
          <w:szCs w:val="44"/>
        </w:rPr>
        <w:t>项目</w:t>
      </w:r>
      <w:r>
        <w:rPr>
          <w:rFonts w:hint="eastAsia"/>
          <w:b/>
          <w:bCs/>
          <w:sz w:val="44"/>
          <w:szCs w:val="44"/>
          <w:lang w:val="en-US" w:eastAsia="zh-CN"/>
        </w:rPr>
        <w:t>需求参数</w:t>
      </w:r>
    </w:p>
    <w:bookmarkEnd w:id="0"/>
    <w:p w14:paraId="0EB2DC78">
      <w:pPr>
        <w:pStyle w:val="5"/>
        <w:pageBreakBefore w:val="0"/>
        <w:kinsoku/>
        <w:wordWrap/>
        <w:overflowPunct/>
        <w:topLinePunct w:val="0"/>
        <w:autoSpaceDE/>
        <w:autoSpaceDN/>
        <w:bidi w:val="0"/>
        <w:adjustRightInd/>
        <w:snapToGrid/>
        <w:spacing w:line="560" w:lineRule="exact"/>
        <w:ind w:left="132"/>
        <w:textAlignment w:val="auto"/>
        <w:rPr>
          <w:rFonts w:hint="eastAsia" w:ascii="宋体" w:hAnsi="宋体" w:eastAsiaTheme="minorEastAsia" w:cstheme="minorBidi"/>
          <w:b/>
          <w:bCs/>
          <w:kern w:val="2"/>
          <w:sz w:val="32"/>
          <w:szCs w:val="32"/>
          <w:lang w:val="en-US" w:eastAsia="zh-CN" w:bidi="ar-SA"/>
        </w:rPr>
      </w:pPr>
    </w:p>
    <w:p w14:paraId="31743E3C">
      <w:pPr>
        <w:pStyle w:val="5"/>
        <w:pageBreakBefore w:val="0"/>
        <w:kinsoku/>
        <w:wordWrap/>
        <w:overflowPunct/>
        <w:topLinePunct w:val="0"/>
        <w:autoSpaceDE/>
        <w:autoSpaceDN/>
        <w:bidi w:val="0"/>
        <w:adjustRightInd/>
        <w:snapToGrid/>
        <w:spacing w:line="560" w:lineRule="exact"/>
        <w:ind w:left="132"/>
        <w:textAlignment w:val="auto"/>
        <w:rPr>
          <w:rFonts w:hint="eastAsia" w:ascii="宋体" w:hAnsi="宋体" w:eastAsiaTheme="minorEastAsia" w:cstheme="minorBidi"/>
          <w:b/>
          <w:bCs/>
          <w:kern w:val="2"/>
          <w:sz w:val="32"/>
          <w:szCs w:val="32"/>
          <w:lang w:val="en-US" w:eastAsia="zh-CN" w:bidi="ar-SA"/>
        </w:rPr>
      </w:pPr>
      <w:bookmarkStart w:id="24" w:name="_GoBack"/>
      <w:bookmarkEnd w:id="24"/>
      <w:r>
        <w:rPr>
          <w:rFonts w:hint="eastAsia" w:ascii="宋体" w:hAnsi="宋体" w:eastAsiaTheme="minorEastAsia" w:cstheme="minorBidi"/>
          <w:b/>
          <w:bCs/>
          <w:kern w:val="2"/>
          <w:sz w:val="32"/>
          <w:szCs w:val="32"/>
          <w:lang w:val="en-US" w:eastAsia="zh-CN" w:bidi="ar-SA"/>
        </w:rPr>
        <w:t>一、项目概述</w:t>
      </w:r>
    </w:p>
    <w:p w14:paraId="063353AC">
      <w:pPr>
        <w:pStyle w:val="5"/>
        <w:pageBreakBefore w:val="0"/>
        <w:kinsoku/>
        <w:wordWrap/>
        <w:overflowPunct/>
        <w:topLinePunct w:val="0"/>
        <w:autoSpaceDE/>
        <w:autoSpaceDN/>
        <w:bidi w:val="0"/>
        <w:adjustRightInd/>
        <w:snapToGrid/>
        <w:spacing w:line="560" w:lineRule="exact"/>
        <w:ind w:right="71" w:firstLine="604" w:firstLineChars="200"/>
        <w:jc w:val="both"/>
        <w:textAlignment w:val="auto"/>
        <w:rPr>
          <w:rFonts w:hint="eastAsia" w:ascii="仿宋" w:hAnsi="仿宋" w:eastAsia="仿宋" w:cs="仿宋"/>
          <w:sz w:val="32"/>
          <w:szCs w:val="32"/>
        </w:rPr>
      </w:pPr>
      <w:r>
        <w:rPr>
          <w:rFonts w:hint="eastAsia" w:ascii="仿宋" w:hAnsi="仿宋" w:eastAsia="仿宋" w:cs="仿宋"/>
          <w:spacing w:val="-9"/>
          <w:sz w:val="32"/>
          <w:szCs w:val="32"/>
        </w:rPr>
        <w:t>根据《三级公立医院绩效考核工作的意见》（国办发〔2019〕4号）、《国务</w:t>
      </w:r>
      <w:r>
        <w:rPr>
          <w:rFonts w:hint="eastAsia" w:ascii="仿宋" w:hAnsi="仿宋" w:eastAsia="仿宋" w:cs="仿宋"/>
          <w:spacing w:val="-17"/>
          <w:sz w:val="32"/>
          <w:szCs w:val="32"/>
        </w:rPr>
        <w:t>院办公厅关于推动公立医院高质量发展的意见》（国办发〔2021〕18号文件）、《关</w:t>
      </w:r>
      <w:r>
        <w:rPr>
          <w:rFonts w:hint="eastAsia" w:ascii="仿宋" w:hAnsi="仿宋" w:eastAsia="仿宋" w:cs="仿宋"/>
          <w:spacing w:val="-5"/>
          <w:sz w:val="32"/>
          <w:szCs w:val="32"/>
        </w:rPr>
        <w:t>于深化公立医院薪酬制度改革的指导意见》（人社部发〔2021〕52号）等</w:t>
      </w:r>
      <w:r>
        <w:rPr>
          <w:rFonts w:hint="eastAsia" w:ascii="仿宋" w:hAnsi="仿宋" w:eastAsia="仿宋" w:cs="仿宋"/>
          <w:spacing w:val="-6"/>
          <w:sz w:val="32"/>
          <w:szCs w:val="32"/>
        </w:rPr>
        <w:t>文件精</w:t>
      </w:r>
      <w:r>
        <w:rPr>
          <w:rFonts w:hint="eastAsia" w:ascii="仿宋" w:hAnsi="仿宋" w:eastAsia="仿宋" w:cs="仿宋"/>
          <w:spacing w:val="-3"/>
          <w:sz w:val="32"/>
          <w:szCs w:val="32"/>
        </w:rPr>
        <w:t>神，国家卫健委有关工作安排和要求，以建立健全现代医院管理制</w:t>
      </w:r>
      <w:r>
        <w:rPr>
          <w:rFonts w:hint="eastAsia" w:ascii="仿宋" w:hAnsi="仿宋" w:eastAsia="仿宋" w:cs="仿宋"/>
          <w:spacing w:val="-4"/>
          <w:sz w:val="32"/>
          <w:szCs w:val="32"/>
        </w:rPr>
        <w:t>度为目标，强</w:t>
      </w:r>
      <w:r>
        <w:rPr>
          <w:rFonts w:hint="eastAsia" w:ascii="仿宋" w:hAnsi="仿宋" w:eastAsia="仿宋" w:cs="仿宋"/>
          <w:spacing w:val="-2"/>
          <w:sz w:val="32"/>
          <w:szCs w:val="32"/>
        </w:rPr>
        <w:t>化绩效考核为导向，坚持公益性，调动积极性，促进收入分配更科学、更公</w:t>
      </w:r>
      <w:r>
        <w:rPr>
          <w:rFonts w:hint="eastAsia" w:ascii="仿宋" w:hAnsi="仿宋" w:eastAsia="仿宋" w:cs="仿宋"/>
          <w:spacing w:val="-3"/>
          <w:sz w:val="32"/>
          <w:szCs w:val="32"/>
        </w:rPr>
        <w:t>平，实现效率提高、质量提升和资源配置优化，提升医院整体运营管理</w:t>
      </w:r>
      <w:r>
        <w:rPr>
          <w:rFonts w:hint="eastAsia" w:ascii="仿宋" w:hAnsi="仿宋" w:eastAsia="仿宋" w:cs="仿宋"/>
          <w:spacing w:val="-4"/>
          <w:sz w:val="32"/>
          <w:szCs w:val="32"/>
        </w:rPr>
        <w:t>水平，并促进</w:t>
      </w:r>
      <w:r>
        <w:rPr>
          <w:rFonts w:hint="eastAsia" w:ascii="仿宋" w:hAnsi="仿宋" w:eastAsia="仿宋" w:cs="仿宋"/>
          <w:spacing w:val="-3"/>
          <w:sz w:val="32"/>
          <w:szCs w:val="32"/>
        </w:rPr>
        <w:t>医院</w:t>
      </w:r>
      <w:r>
        <w:rPr>
          <w:rFonts w:hint="eastAsia" w:ascii="仿宋" w:hAnsi="仿宋" w:eastAsia="仿宋" w:cs="仿宋"/>
          <w:spacing w:val="-3"/>
          <w:sz w:val="32"/>
          <w:szCs w:val="32"/>
          <w:lang w:val="en-US" w:eastAsia="zh-CN"/>
        </w:rPr>
        <w:t>高质量</w:t>
      </w:r>
      <w:r>
        <w:rPr>
          <w:rFonts w:hint="eastAsia" w:ascii="仿宋" w:hAnsi="仿宋" w:eastAsia="仿宋" w:cs="仿宋"/>
          <w:spacing w:val="-3"/>
          <w:sz w:val="32"/>
          <w:szCs w:val="32"/>
        </w:rPr>
        <w:t>发展。</w:t>
      </w:r>
      <w:r>
        <w:rPr>
          <w:rFonts w:hint="eastAsia" w:ascii="仿宋" w:hAnsi="仿宋" w:eastAsia="仿宋" w:cs="仿宋"/>
          <w:spacing w:val="-3"/>
          <w:sz w:val="32"/>
          <w:szCs w:val="32"/>
          <w:lang w:val="en-US" w:eastAsia="zh-CN"/>
        </w:rPr>
        <w:t>巴中市中医院（巴中市巴州区人民医院）</w:t>
      </w:r>
      <w:r>
        <w:rPr>
          <w:rFonts w:hint="eastAsia" w:ascii="仿宋" w:hAnsi="仿宋" w:eastAsia="仿宋" w:cs="仿宋"/>
          <w:spacing w:val="-3"/>
          <w:sz w:val="32"/>
          <w:szCs w:val="32"/>
        </w:rPr>
        <w:t>拟采购医院绩效管理咨询服务及配套软件系统，采购内容及清单为：</w:t>
      </w:r>
    </w:p>
    <w:p w14:paraId="69872674">
      <w:pPr>
        <w:pageBreakBefore w:val="0"/>
        <w:kinsoku/>
        <w:wordWrap/>
        <w:overflowPunct/>
        <w:topLinePunct w:val="0"/>
        <w:autoSpaceDE/>
        <w:autoSpaceDN/>
        <w:bidi w:val="0"/>
        <w:adjustRightInd/>
        <w:snapToGrid/>
        <w:spacing w:line="560" w:lineRule="exact"/>
        <w:textAlignment w:val="auto"/>
      </w:pPr>
    </w:p>
    <w:tbl>
      <w:tblPr>
        <w:tblStyle w:val="64"/>
        <w:tblW w:w="8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4622"/>
        <w:gridCol w:w="3199"/>
      </w:tblGrid>
      <w:tr w14:paraId="1F61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03" w:type="dxa"/>
            <w:vAlign w:val="center"/>
          </w:tcPr>
          <w:p w14:paraId="01C4D7A6">
            <w:pPr>
              <w:pStyle w:val="63"/>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1"/>
            </w:pPr>
            <w:r>
              <w:rPr>
                <w:spacing w:val="-11"/>
                <w14:textOutline w14:w="4358" w14:cap="sq" w14:cmpd="sng">
                  <w14:solidFill>
                    <w14:srgbClr w14:val="000000"/>
                  </w14:solidFill>
                  <w14:prstDash w14:val="solid"/>
                  <w14:bevel/>
                </w14:textOutline>
              </w:rPr>
              <w:t>序号</w:t>
            </w:r>
          </w:p>
        </w:tc>
        <w:tc>
          <w:tcPr>
            <w:tcW w:w="4622" w:type="dxa"/>
            <w:vAlign w:val="center"/>
          </w:tcPr>
          <w:p w14:paraId="4A862F28">
            <w:pPr>
              <w:pStyle w:val="63"/>
              <w:pageBreakBefore w:val="0"/>
              <w:kinsoku/>
              <w:wordWrap/>
              <w:overflowPunct/>
              <w:topLinePunct w:val="0"/>
              <w:autoSpaceDE/>
              <w:autoSpaceDN/>
              <w:bidi w:val="0"/>
              <w:adjustRightInd/>
              <w:snapToGrid/>
              <w:spacing w:line="560" w:lineRule="exact"/>
              <w:ind w:firstLine="1744" w:firstLineChars="800"/>
              <w:jc w:val="both"/>
              <w:textAlignment w:val="auto"/>
            </w:pPr>
            <w:r>
              <w:rPr>
                <w:spacing w:val="-11"/>
                <w14:textOutline w14:w="4358" w14:cap="sq" w14:cmpd="sng">
                  <w14:solidFill>
                    <w14:srgbClr w14:val="000000"/>
                  </w14:solidFill>
                  <w14:prstDash w14:val="solid"/>
                  <w14:bevel/>
                </w14:textOutline>
              </w:rPr>
              <w:t>内容名称</w:t>
            </w:r>
          </w:p>
        </w:tc>
        <w:tc>
          <w:tcPr>
            <w:tcW w:w="3199" w:type="dxa"/>
            <w:vAlign w:val="center"/>
          </w:tcPr>
          <w:p w14:paraId="13A31DAE">
            <w:pPr>
              <w:pStyle w:val="63"/>
              <w:pageBreakBefore w:val="0"/>
              <w:kinsoku/>
              <w:wordWrap/>
              <w:overflowPunct/>
              <w:topLinePunct w:val="0"/>
              <w:autoSpaceDE/>
              <w:autoSpaceDN/>
              <w:bidi w:val="0"/>
              <w:adjustRightInd/>
              <w:snapToGrid/>
              <w:spacing w:line="560" w:lineRule="exact"/>
              <w:ind w:left="1009"/>
              <w:jc w:val="center"/>
              <w:textAlignment w:val="auto"/>
            </w:pPr>
            <w:r>
              <w:rPr>
                <w:spacing w:val="-3"/>
                <w14:textOutline w14:w="4358" w14:cap="sq" w14:cmpd="sng">
                  <w14:solidFill>
                    <w14:srgbClr w14:val="000000"/>
                  </w14:solidFill>
                  <w14:prstDash w14:val="solid"/>
                  <w14:bevel/>
                </w14:textOutline>
              </w:rPr>
              <w:t>数量（项）</w:t>
            </w:r>
          </w:p>
        </w:tc>
      </w:tr>
      <w:tr w14:paraId="7C605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03" w:type="dxa"/>
            <w:vAlign w:val="center"/>
          </w:tcPr>
          <w:p w14:paraId="6386E229">
            <w:pPr>
              <w:pStyle w:val="63"/>
              <w:pageBreakBefore w:val="0"/>
              <w:kinsoku/>
              <w:wordWrap/>
              <w:overflowPunct/>
              <w:topLinePunct w:val="0"/>
              <w:autoSpaceDE/>
              <w:autoSpaceDN/>
              <w:bidi w:val="0"/>
              <w:adjustRightInd/>
              <w:snapToGrid/>
              <w:spacing w:line="560" w:lineRule="exact"/>
              <w:ind w:left="313"/>
              <w:jc w:val="both"/>
              <w:textAlignment w:val="auto"/>
              <w:outlineLvl w:val="1"/>
              <w:rPr>
                <w:rFonts w:hint="eastAsia" w:ascii="仿宋" w:hAnsi="仿宋" w:eastAsia="仿宋" w:cs="仿宋"/>
                <w:spacing w:val="-3"/>
                <w:kern w:val="2"/>
                <w:sz w:val="30"/>
                <w:szCs w:val="30"/>
                <w:lang w:val="en-US" w:eastAsia="zh-CN" w:bidi="ar-SA"/>
              </w:rPr>
            </w:pPr>
            <w:r>
              <w:rPr>
                <w:rFonts w:hint="eastAsia" w:ascii="仿宋" w:hAnsi="仿宋" w:eastAsia="仿宋" w:cs="仿宋"/>
                <w:spacing w:val="-3"/>
                <w:kern w:val="2"/>
                <w:sz w:val="30"/>
                <w:szCs w:val="30"/>
                <w:lang w:val="en-US" w:eastAsia="zh-CN" w:bidi="ar-SA"/>
              </w:rPr>
              <w:t>11</w:t>
            </w:r>
          </w:p>
        </w:tc>
        <w:tc>
          <w:tcPr>
            <w:tcW w:w="4622" w:type="dxa"/>
            <w:vAlign w:val="center"/>
          </w:tcPr>
          <w:p w14:paraId="65B269C0">
            <w:pPr>
              <w:pStyle w:val="63"/>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pacing w:val="-3"/>
                <w:kern w:val="2"/>
                <w:sz w:val="30"/>
                <w:szCs w:val="30"/>
                <w:lang w:val="en-US" w:eastAsia="zh-CN" w:bidi="ar-SA"/>
              </w:rPr>
            </w:pPr>
            <w:r>
              <w:rPr>
                <w:rFonts w:hint="eastAsia" w:ascii="仿宋" w:hAnsi="仿宋" w:eastAsia="仿宋" w:cs="仿宋"/>
                <w:spacing w:val="-3"/>
                <w:kern w:val="2"/>
                <w:sz w:val="30"/>
                <w:szCs w:val="30"/>
                <w:lang w:val="en-US" w:eastAsia="zh-CN" w:bidi="ar-SA"/>
              </w:rPr>
              <w:t>医院绩效管理咨询服务</w:t>
            </w:r>
          </w:p>
        </w:tc>
        <w:tc>
          <w:tcPr>
            <w:tcW w:w="3199" w:type="dxa"/>
            <w:vAlign w:val="center"/>
          </w:tcPr>
          <w:p w14:paraId="4B32B07D">
            <w:pPr>
              <w:pStyle w:val="63"/>
              <w:pageBreakBefore w:val="0"/>
              <w:kinsoku/>
              <w:wordWrap/>
              <w:overflowPunct/>
              <w:topLinePunct w:val="0"/>
              <w:autoSpaceDE/>
              <w:autoSpaceDN/>
              <w:bidi w:val="0"/>
              <w:adjustRightInd/>
              <w:snapToGrid/>
              <w:spacing w:line="560" w:lineRule="exact"/>
              <w:ind w:left="1562"/>
              <w:jc w:val="both"/>
              <w:textAlignment w:val="auto"/>
              <w:rPr>
                <w:rFonts w:hint="eastAsia" w:ascii="仿宋" w:hAnsi="仿宋" w:eastAsia="仿宋" w:cs="仿宋"/>
                <w:spacing w:val="-3"/>
                <w:kern w:val="2"/>
                <w:sz w:val="30"/>
                <w:szCs w:val="30"/>
                <w:lang w:val="en-US" w:eastAsia="zh-CN" w:bidi="ar-SA"/>
              </w:rPr>
            </w:pPr>
            <w:r>
              <w:rPr>
                <w:rFonts w:hint="eastAsia" w:ascii="仿宋" w:hAnsi="仿宋" w:eastAsia="仿宋" w:cs="仿宋"/>
                <w:spacing w:val="-3"/>
                <w:kern w:val="2"/>
                <w:sz w:val="30"/>
                <w:szCs w:val="30"/>
                <w:lang w:val="en-US" w:eastAsia="zh-CN" w:bidi="ar-SA"/>
              </w:rPr>
              <w:t>1</w:t>
            </w:r>
          </w:p>
        </w:tc>
      </w:tr>
      <w:tr w14:paraId="6343D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03" w:type="dxa"/>
            <w:vAlign w:val="center"/>
          </w:tcPr>
          <w:p w14:paraId="1A90E414">
            <w:pPr>
              <w:pStyle w:val="63"/>
              <w:pageBreakBefore w:val="0"/>
              <w:kinsoku/>
              <w:wordWrap/>
              <w:overflowPunct/>
              <w:topLinePunct w:val="0"/>
              <w:autoSpaceDE/>
              <w:autoSpaceDN/>
              <w:bidi w:val="0"/>
              <w:adjustRightInd/>
              <w:snapToGrid/>
              <w:spacing w:line="560" w:lineRule="exact"/>
              <w:ind w:left="299"/>
              <w:jc w:val="both"/>
              <w:textAlignment w:val="auto"/>
              <w:outlineLvl w:val="1"/>
              <w:rPr>
                <w:rFonts w:hint="eastAsia" w:ascii="仿宋" w:hAnsi="仿宋" w:eastAsia="仿宋" w:cs="仿宋"/>
                <w:spacing w:val="-3"/>
                <w:kern w:val="2"/>
                <w:sz w:val="30"/>
                <w:szCs w:val="30"/>
                <w:lang w:val="en-US" w:eastAsia="zh-CN" w:bidi="ar-SA"/>
              </w:rPr>
            </w:pPr>
            <w:r>
              <w:rPr>
                <w:rFonts w:hint="eastAsia" w:ascii="仿宋" w:hAnsi="仿宋" w:eastAsia="仿宋" w:cs="仿宋"/>
                <w:spacing w:val="-3"/>
                <w:kern w:val="2"/>
                <w:sz w:val="30"/>
                <w:szCs w:val="30"/>
                <w:lang w:val="en-US" w:eastAsia="zh-CN" w:bidi="ar-SA"/>
              </w:rPr>
              <w:t>22</w:t>
            </w:r>
          </w:p>
        </w:tc>
        <w:tc>
          <w:tcPr>
            <w:tcW w:w="4622" w:type="dxa"/>
            <w:vAlign w:val="center"/>
          </w:tcPr>
          <w:p w14:paraId="08A6EA62">
            <w:pPr>
              <w:pStyle w:val="63"/>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pacing w:val="-3"/>
                <w:kern w:val="2"/>
                <w:sz w:val="30"/>
                <w:szCs w:val="30"/>
                <w:lang w:val="en-US" w:eastAsia="zh-CN" w:bidi="ar-SA"/>
              </w:rPr>
            </w:pPr>
            <w:r>
              <w:rPr>
                <w:rFonts w:hint="eastAsia" w:ascii="仿宋" w:hAnsi="仿宋" w:eastAsia="仿宋" w:cs="仿宋"/>
                <w:spacing w:val="-3"/>
                <w:kern w:val="2"/>
                <w:sz w:val="30"/>
                <w:szCs w:val="30"/>
                <w:lang w:val="en-US" w:eastAsia="zh-CN" w:bidi="ar-SA"/>
              </w:rPr>
              <w:t>医院绩效考核管理软件系统</w:t>
            </w:r>
          </w:p>
        </w:tc>
        <w:tc>
          <w:tcPr>
            <w:tcW w:w="3199" w:type="dxa"/>
            <w:vAlign w:val="center"/>
          </w:tcPr>
          <w:p w14:paraId="603B86EF">
            <w:pPr>
              <w:pStyle w:val="63"/>
              <w:pageBreakBefore w:val="0"/>
              <w:kinsoku/>
              <w:wordWrap/>
              <w:overflowPunct/>
              <w:topLinePunct w:val="0"/>
              <w:autoSpaceDE/>
              <w:autoSpaceDN/>
              <w:bidi w:val="0"/>
              <w:adjustRightInd/>
              <w:snapToGrid/>
              <w:spacing w:line="560" w:lineRule="exact"/>
              <w:ind w:left="1562"/>
              <w:jc w:val="both"/>
              <w:textAlignment w:val="auto"/>
              <w:rPr>
                <w:rFonts w:hint="eastAsia" w:ascii="仿宋" w:hAnsi="仿宋" w:eastAsia="仿宋" w:cs="仿宋"/>
                <w:spacing w:val="-3"/>
                <w:kern w:val="2"/>
                <w:sz w:val="30"/>
                <w:szCs w:val="30"/>
                <w:lang w:val="en-US" w:eastAsia="zh-CN" w:bidi="ar-SA"/>
              </w:rPr>
            </w:pPr>
            <w:r>
              <w:rPr>
                <w:rFonts w:hint="eastAsia" w:ascii="仿宋" w:hAnsi="仿宋" w:eastAsia="仿宋" w:cs="仿宋"/>
                <w:spacing w:val="-3"/>
                <w:kern w:val="2"/>
                <w:sz w:val="30"/>
                <w:szCs w:val="30"/>
                <w:lang w:val="en-US" w:eastAsia="zh-CN" w:bidi="ar-SA"/>
              </w:rPr>
              <w:t>1</w:t>
            </w:r>
          </w:p>
        </w:tc>
      </w:tr>
    </w:tbl>
    <w:p w14:paraId="1508CE26">
      <w:pPr>
        <w:pageBreakBefore w:val="0"/>
        <w:kinsoku/>
        <w:wordWrap/>
        <w:overflowPunct/>
        <w:topLinePunct w:val="0"/>
        <w:autoSpaceDE/>
        <w:autoSpaceDN/>
        <w:bidi w:val="0"/>
        <w:adjustRightInd/>
        <w:snapToGrid/>
        <w:spacing w:line="560" w:lineRule="exact"/>
        <w:ind w:left="0" w:leftChars="0" w:firstLine="0" w:firstLineChars="0"/>
        <w:textAlignment w:val="auto"/>
        <w:rPr>
          <w:rFonts w:ascii="Arial"/>
          <w:sz w:val="21"/>
        </w:rPr>
      </w:pPr>
    </w:p>
    <w:p w14:paraId="6BDE8555">
      <w:pPr>
        <w:pageBreakBefore w:val="0"/>
        <w:widowControl/>
        <w:kinsoku/>
        <w:wordWrap/>
        <w:overflowPunct/>
        <w:topLinePunct w:val="0"/>
        <w:autoSpaceDE/>
        <w:autoSpaceDN/>
        <w:bidi w:val="0"/>
        <w:adjustRightInd/>
        <w:snapToGrid/>
        <w:spacing w:line="560" w:lineRule="exact"/>
        <w:ind w:firstLine="0" w:firstLineChars="0"/>
        <w:jc w:val="both"/>
        <w:textAlignment w:val="auto"/>
        <w:rPr>
          <w:b/>
          <w:bCs/>
          <w:sz w:val="32"/>
          <w:szCs w:val="32"/>
        </w:rPr>
      </w:pPr>
      <w:r>
        <w:rPr>
          <w:rFonts w:hint="eastAsia"/>
          <w:b/>
          <w:bCs/>
          <w:sz w:val="32"/>
          <w:szCs w:val="32"/>
          <w:lang w:val="en-US" w:eastAsia="zh-CN"/>
        </w:rPr>
        <w:t>二</w:t>
      </w:r>
      <w:r>
        <w:rPr>
          <w:rFonts w:hint="eastAsia"/>
          <w:b/>
          <w:bCs/>
          <w:sz w:val="32"/>
          <w:szCs w:val="32"/>
        </w:rPr>
        <w:t>、项目建设原则</w:t>
      </w:r>
    </w:p>
    <w:p w14:paraId="0DD6E1F9">
      <w:pPr>
        <w:pageBreakBefore w:val="0"/>
        <w:kinsoku/>
        <w:wordWrap/>
        <w:overflowPunct/>
        <w:topLinePunct w:val="0"/>
        <w:autoSpaceDE/>
        <w:autoSpaceDN/>
        <w:bidi w:val="0"/>
        <w:adjustRightInd/>
        <w:snapToGrid/>
        <w:spacing w:line="560" w:lineRule="exact"/>
        <w:ind w:firstLine="480"/>
        <w:textAlignment w:val="auto"/>
      </w:pPr>
      <w:r>
        <w:t>1、符合政策规范性原则</w:t>
      </w:r>
    </w:p>
    <w:p w14:paraId="26791868">
      <w:pPr>
        <w:pageBreakBefore w:val="0"/>
        <w:kinsoku/>
        <w:wordWrap/>
        <w:overflowPunct/>
        <w:topLinePunct w:val="0"/>
        <w:autoSpaceDE/>
        <w:autoSpaceDN/>
        <w:bidi w:val="0"/>
        <w:adjustRightInd/>
        <w:snapToGrid/>
        <w:spacing w:line="560" w:lineRule="exact"/>
        <w:ind w:firstLine="480"/>
        <w:textAlignment w:val="auto"/>
      </w:pPr>
      <w:r>
        <w:t>所使用的绩效方案应当</w:t>
      </w:r>
      <w:r>
        <w:rPr>
          <w:rFonts w:hint="eastAsia"/>
          <w:lang w:val="en-US" w:eastAsia="zh-CN"/>
        </w:rPr>
        <w:t>符合</w:t>
      </w:r>
      <w:r>
        <w:t>国家卫健委“</w:t>
      </w:r>
      <w:r>
        <w:rPr>
          <w:rFonts w:hint="eastAsia"/>
          <w:lang w:val="en-US" w:eastAsia="zh-CN"/>
        </w:rPr>
        <w:t>九项准则</w:t>
      </w:r>
      <w:r>
        <w:t>”</w:t>
      </w:r>
      <w:r>
        <w:rPr>
          <w:rFonts w:hint="eastAsia"/>
          <w:lang w:eastAsia="zh-CN"/>
        </w:rPr>
        <w:t>、</w:t>
      </w:r>
      <w:r>
        <w:rPr>
          <w:rFonts w:hint="eastAsia"/>
          <w:lang w:val="en-US" w:eastAsia="zh-CN"/>
        </w:rPr>
        <w:t>公立医院薪酬制度改革、三级公立中医医院绩效考核、公立医院高质量发展等相关文件规定</w:t>
      </w:r>
      <w:r>
        <w:t>，</w:t>
      </w:r>
      <w:r>
        <w:rPr>
          <w:rFonts w:hint="eastAsia"/>
          <w:lang w:val="en-US" w:eastAsia="zh-CN"/>
        </w:rPr>
        <w:t>以劳动价值为核心、统筹效率与公平。拟建立以医院战略发展目标为导向，以医务人员劳动价值、工作量为评价基础，统筹质量、效率、成本，建立基于</w:t>
      </w:r>
      <w:r>
        <w:t>DRG</w:t>
      </w:r>
      <w:r>
        <w:rPr>
          <w:rFonts w:hint="eastAsia"/>
          <w:lang w:val="en-US" w:eastAsia="zh-CN"/>
        </w:rPr>
        <w:t>支付模式下的精细化绩效管理和绩效工资分配体系、绩效考核体系，</w:t>
      </w:r>
      <w:r>
        <w:t>医务人员的绩效工资不能与收入挂钩，符合医保支付政策要求。</w:t>
      </w:r>
    </w:p>
    <w:p w14:paraId="48411867">
      <w:pPr>
        <w:pageBreakBefore w:val="0"/>
        <w:kinsoku/>
        <w:wordWrap/>
        <w:overflowPunct/>
        <w:topLinePunct w:val="0"/>
        <w:autoSpaceDE/>
        <w:autoSpaceDN/>
        <w:bidi w:val="0"/>
        <w:adjustRightInd/>
        <w:snapToGrid/>
        <w:spacing w:line="560" w:lineRule="exact"/>
        <w:ind w:firstLine="480"/>
        <w:textAlignment w:val="auto"/>
      </w:pPr>
      <w:r>
        <w:t>2、技术方法本地化原则</w:t>
      </w:r>
    </w:p>
    <w:p w14:paraId="0A261116">
      <w:pPr>
        <w:pageBreakBefore w:val="0"/>
        <w:kinsoku/>
        <w:wordWrap/>
        <w:overflowPunct/>
        <w:topLinePunct w:val="0"/>
        <w:autoSpaceDE/>
        <w:autoSpaceDN/>
        <w:bidi w:val="0"/>
        <w:adjustRightInd/>
        <w:snapToGrid/>
        <w:spacing w:line="560" w:lineRule="exact"/>
        <w:ind w:firstLine="480"/>
        <w:textAlignment w:val="auto"/>
      </w:pPr>
      <w:r>
        <w:t>建立以医院战略目标（扩大服务量、提高效率、优化病种结构和收入结构）为导向，以工作量评价为基础，以</w:t>
      </w:r>
      <w:r>
        <w:rPr>
          <w:color w:val="auto"/>
        </w:rPr>
        <w:t>RBRVS</w:t>
      </w:r>
      <w:r>
        <w:rPr>
          <w:rFonts w:hint="eastAsia"/>
          <w:color w:val="auto"/>
          <w:lang w:eastAsia="zh-CN"/>
        </w:rPr>
        <w:t>（</w:t>
      </w:r>
      <w:r>
        <w:rPr>
          <w:rFonts w:ascii="Arial" w:hAnsi="Arial" w:eastAsia="宋体" w:cs="Arial"/>
          <w:i w:val="0"/>
          <w:iCs w:val="0"/>
          <w:caps w:val="0"/>
          <w:color w:val="auto"/>
          <w:spacing w:val="0"/>
          <w:sz w:val="21"/>
          <w:szCs w:val="21"/>
          <w:shd w:val="clear" w:fill="FFFFFF"/>
        </w:rPr>
        <w:t>以资源为基础的相对价值比率</w:t>
      </w:r>
      <w:r>
        <w:rPr>
          <w:rFonts w:hint="eastAsia" w:ascii="Arial" w:hAnsi="Arial" w:eastAsia="宋体" w:cs="Arial"/>
          <w:i w:val="0"/>
          <w:iCs w:val="0"/>
          <w:caps w:val="0"/>
          <w:color w:val="auto"/>
          <w:spacing w:val="0"/>
          <w:sz w:val="21"/>
          <w:szCs w:val="21"/>
          <w:shd w:val="clear" w:fill="FFFFFF"/>
          <w:lang w:eastAsia="zh-CN"/>
        </w:rPr>
        <w:t>，</w:t>
      </w:r>
      <w:r>
        <w:rPr>
          <w:rFonts w:hint="eastAsia" w:ascii="Arial" w:hAnsi="Arial" w:eastAsia="宋体" w:cs="Arial"/>
          <w:i w:val="0"/>
          <w:iCs w:val="0"/>
          <w:caps w:val="0"/>
          <w:color w:val="auto"/>
          <w:spacing w:val="0"/>
          <w:sz w:val="21"/>
          <w:szCs w:val="21"/>
          <w:shd w:val="clear" w:fill="FFFFFF"/>
          <w:lang w:val="en-US" w:eastAsia="zh-CN"/>
        </w:rPr>
        <w:t>即</w:t>
      </w:r>
      <w:r>
        <w:rPr>
          <w:rFonts w:ascii="Arial" w:hAnsi="Arial" w:eastAsia="宋体" w:cs="Arial"/>
          <w:i w:val="0"/>
          <w:iCs w:val="0"/>
          <w:caps w:val="0"/>
          <w:color w:val="auto"/>
          <w:spacing w:val="0"/>
          <w:sz w:val="21"/>
          <w:szCs w:val="21"/>
          <w:shd w:val="clear" w:fill="FFFFFF"/>
        </w:rPr>
        <w:t>以资源消耗为基础，以相对价值为尺度，来支付</w:t>
      </w:r>
      <w:r>
        <w:rPr>
          <w:rFonts w:hint="eastAsia" w:ascii="Arial" w:hAnsi="Arial" w:eastAsia="宋体" w:cs="Arial"/>
          <w:i w:val="0"/>
          <w:iCs w:val="0"/>
          <w:caps w:val="0"/>
          <w:color w:val="auto"/>
          <w:spacing w:val="0"/>
          <w:sz w:val="21"/>
          <w:szCs w:val="21"/>
          <w:shd w:val="clear" w:fill="FFFFFF"/>
          <w:lang w:val="en-US" w:eastAsia="zh-CN"/>
        </w:rPr>
        <w:t>医务人员</w:t>
      </w:r>
      <w:r>
        <w:rPr>
          <w:rFonts w:ascii="Arial" w:hAnsi="Arial" w:eastAsia="宋体" w:cs="Arial"/>
          <w:i w:val="0"/>
          <w:iCs w:val="0"/>
          <w:caps w:val="0"/>
          <w:color w:val="auto"/>
          <w:spacing w:val="0"/>
          <w:sz w:val="21"/>
          <w:szCs w:val="21"/>
          <w:shd w:val="clear" w:fill="FFFFFF"/>
        </w:rPr>
        <w:t>劳务费用的方法，主要是根据</w:t>
      </w:r>
      <w:r>
        <w:rPr>
          <w:rFonts w:hint="eastAsia" w:ascii="Arial" w:hAnsi="Arial" w:eastAsia="宋体" w:cs="Arial"/>
          <w:i w:val="0"/>
          <w:iCs w:val="0"/>
          <w:caps w:val="0"/>
          <w:color w:val="auto"/>
          <w:spacing w:val="0"/>
          <w:sz w:val="21"/>
          <w:szCs w:val="21"/>
          <w:shd w:val="clear" w:fill="FFFFFF"/>
          <w:lang w:val="en-US" w:eastAsia="zh-CN"/>
        </w:rPr>
        <w:t>医务人员</w:t>
      </w:r>
      <w:r>
        <w:rPr>
          <w:rFonts w:ascii="Arial" w:hAnsi="Arial" w:eastAsia="宋体" w:cs="Arial"/>
          <w:i w:val="0"/>
          <w:iCs w:val="0"/>
          <w:caps w:val="0"/>
          <w:color w:val="auto"/>
          <w:spacing w:val="0"/>
          <w:sz w:val="21"/>
          <w:szCs w:val="21"/>
          <w:shd w:val="clear" w:fill="FFFFFF"/>
        </w:rPr>
        <w:t>在提供医疗服务过程中所消耗的资源成本来客观地测定其费用</w:t>
      </w:r>
      <w:r>
        <w:rPr>
          <w:rFonts w:hint="eastAsia"/>
          <w:color w:val="auto"/>
          <w:lang w:eastAsia="zh-CN"/>
        </w:rPr>
        <w:t>）</w:t>
      </w:r>
      <w:r>
        <w:rPr>
          <w:color w:val="auto"/>
        </w:rPr>
        <w:t>、DRGs</w:t>
      </w:r>
      <w:r>
        <w:rPr>
          <w:rFonts w:hint="eastAsia"/>
          <w:color w:val="auto"/>
          <w:lang w:eastAsia="zh-CN"/>
        </w:rPr>
        <w:t>、</w:t>
      </w:r>
      <w:r>
        <w:rPr>
          <w:rFonts w:hint="eastAsia"/>
          <w:color w:val="auto"/>
          <w:lang w:val="en-US" w:eastAsia="zh-CN"/>
        </w:rPr>
        <w:t>APGs</w:t>
      </w:r>
      <w:r>
        <w:t>为工作量评价工具，基于DRG</w:t>
      </w:r>
      <w:r>
        <w:rPr>
          <w:rFonts w:hint="eastAsia"/>
          <w:lang w:val="en-US" w:eastAsia="zh-CN"/>
        </w:rPr>
        <w:t>/DIP</w:t>
      </w:r>
      <w:r>
        <w:t>支付模式下统筹效率、质量、成本、科研教学的绩效评价和分配体系。兼顾关键业绩指标和直接成本管控体系，实现绩效分配的公平性，体现多劳多得、优绩优酬，保证医院的公益性要求。同时由于绩效管理高度个性化，投标方应当提供绩效管理及人事管理咨询，将国际先进的医务人员劳动价值评价方法在本院进行本地化研究，使之适合本院的发展阶段。并能为未来发展建立基础绩效管理架构。需要咨询团队将基于资源消耗为基础的价值尺度本土化，并依据</w:t>
      </w:r>
      <w:r>
        <w:rPr>
          <w:rFonts w:hint="eastAsia"/>
          <w:lang w:val="en-US" w:eastAsia="zh-CN"/>
        </w:rPr>
        <w:t>我院</w:t>
      </w:r>
      <w:r>
        <w:t>业务特点及实际情况进行本地化。</w:t>
      </w:r>
    </w:p>
    <w:p w14:paraId="1DEE4D8C">
      <w:pPr>
        <w:pageBreakBefore w:val="0"/>
        <w:kinsoku/>
        <w:wordWrap/>
        <w:overflowPunct/>
        <w:topLinePunct w:val="0"/>
        <w:autoSpaceDE/>
        <w:autoSpaceDN/>
        <w:bidi w:val="0"/>
        <w:adjustRightInd/>
        <w:snapToGrid/>
        <w:spacing w:line="560" w:lineRule="exact"/>
        <w:ind w:firstLine="480"/>
        <w:textAlignment w:val="auto"/>
      </w:pPr>
      <w:r>
        <w:t>3、</w:t>
      </w:r>
      <w:r>
        <w:rPr>
          <w:rFonts w:hint="eastAsia"/>
        </w:rPr>
        <w:t>服务产品</w:t>
      </w:r>
      <w:r>
        <w:t>先进性原则</w:t>
      </w:r>
    </w:p>
    <w:p w14:paraId="5A2027E4">
      <w:pPr>
        <w:pageBreakBefore w:val="0"/>
        <w:kinsoku/>
        <w:wordWrap/>
        <w:overflowPunct/>
        <w:topLinePunct w:val="0"/>
        <w:autoSpaceDE/>
        <w:autoSpaceDN/>
        <w:bidi w:val="0"/>
        <w:adjustRightInd/>
        <w:snapToGrid/>
        <w:spacing w:line="560" w:lineRule="exact"/>
        <w:ind w:firstLine="480"/>
        <w:textAlignment w:val="auto"/>
      </w:pPr>
      <w:r>
        <w:t>绩效管理方案采用国际通行的</w:t>
      </w:r>
      <w:r>
        <w:rPr>
          <w:color w:val="auto"/>
        </w:rPr>
        <w:t>平衡计分卡、360度评价、RBRVS、DRGS等医务人员贡献价值评价方法，在国内有</w:t>
      </w:r>
      <w:r>
        <w:t>成功的应用示范用户。</w:t>
      </w:r>
      <w:r>
        <w:rPr>
          <w:spacing w:val="4"/>
          <w:sz w:val="24"/>
          <w:szCs w:val="24"/>
        </w:rPr>
        <w:t>配套软件应采用</w:t>
      </w:r>
      <w:r>
        <w:rPr>
          <w:spacing w:val="-2"/>
          <w:sz w:val="24"/>
          <w:szCs w:val="24"/>
        </w:rPr>
        <w:t>B/S架构具有先进的技术水</w:t>
      </w:r>
      <w:r>
        <w:t>平，有较高的性能，符合当今技术发展的方向。遵循业界规范，不依赖于某一个厂家的系统平台和操作系统之上。尽可能的延长系统的有效生命周期，保护用户在信息化方面的投入物有所值，并发挥投资的最大效益</w:t>
      </w:r>
      <w:r>
        <w:rPr>
          <w:rFonts w:hint="eastAsia"/>
        </w:rPr>
        <w:t>。</w:t>
      </w:r>
    </w:p>
    <w:p w14:paraId="0A1DDA88">
      <w:pPr>
        <w:pageBreakBefore w:val="0"/>
        <w:kinsoku/>
        <w:wordWrap/>
        <w:overflowPunct/>
        <w:topLinePunct w:val="0"/>
        <w:autoSpaceDE/>
        <w:autoSpaceDN/>
        <w:bidi w:val="0"/>
        <w:adjustRightInd/>
        <w:snapToGrid/>
        <w:spacing w:line="560" w:lineRule="exact"/>
        <w:ind w:firstLine="480"/>
        <w:textAlignment w:val="auto"/>
      </w:pPr>
      <w:r>
        <w:t>4、绩效方案实用性原则</w:t>
      </w:r>
    </w:p>
    <w:p w14:paraId="1C5D5180">
      <w:pPr>
        <w:pageBreakBefore w:val="0"/>
        <w:kinsoku/>
        <w:wordWrap/>
        <w:overflowPunct/>
        <w:topLinePunct w:val="0"/>
        <w:autoSpaceDE/>
        <w:autoSpaceDN/>
        <w:bidi w:val="0"/>
        <w:adjustRightInd/>
        <w:snapToGrid/>
        <w:spacing w:line="560" w:lineRule="exact"/>
        <w:ind w:firstLine="480"/>
        <w:textAlignment w:val="auto"/>
      </w:pPr>
      <w:r>
        <w:t>绩效整体方案应当与医院发展的阶段、专业特点、科室分工相匹配，依据方案产生的绩效分配结果应当与医院实际情况相符合。</w:t>
      </w:r>
    </w:p>
    <w:p w14:paraId="1DA3664D">
      <w:pPr>
        <w:pageBreakBefore w:val="0"/>
        <w:kinsoku/>
        <w:wordWrap/>
        <w:overflowPunct/>
        <w:topLinePunct w:val="0"/>
        <w:autoSpaceDE/>
        <w:autoSpaceDN/>
        <w:bidi w:val="0"/>
        <w:adjustRightInd/>
        <w:snapToGrid/>
        <w:spacing w:line="560" w:lineRule="exact"/>
        <w:ind w:firstLine="480"/>
        <w:textAlignment w:val="auto"/>
      </w:pPr>
      <w:r>
        <w:t>5、软件平台开放性原则</w:t>
      </w:r>
    </w:p>
    <w:p w14:paraId="20CB47AE">
      <w:pPr>
        <w:pageBreakBefore w:val="0"/>
        <w:kinsoku/>
        <w:wordWrap/>
        <w:overflowPunct/>
        <w:topLinePunct w:val="0"/>
        <w:autoSpaceDE/>
        <w:autoSpaceDN/>
        <w:bidi w:val="0"/>
        <w:adjustRightInd/>
        <w:snapToGrid/>
        <w:spacing w:line="560" w:lineRule="exact"/>
        <w:ind w:firstLine="480"/>
        <w:textAlignment w:val="auto"/>
      </w:pPr>
      <w:r>
        <w:t>系统设计和建设需坚持开放性原则。软件开发平台采用先进的网络体系设计结构，兼容不同的软件、硬件平台系统，可以利用现有的设备资源，保护投资。</w:t>
      </w:r>
    </w:p>
    <w:p w14:paraId="294D5433">
      <w:pPr>
        <w:pageBreakBefore w:val="0"/>
        <w:kinsoku/>
        <w:wordWrap/>
        <w:overflowPunct/>
        <w:topLinePunct w:val="0"/>
        <w:autoSpaceDE/>
        <w:autoSpaceDN/>
        <w:bidi w:val="0"/>
        <w:adjustRightInd/>
        <w:snapToGrid/>
        <w:spacing w:line="560" w:lineRule="exact"/>
        <w:ind w:firstLine="480"/>
        <w:textAlignment w:val="auto"/>
      </w:pPr>
      <w:r>
        <w:t>6、软件系统扩展性原则</w:t>
      </w:r>
    </w:p>
    <w:p w14:paraId="3F87B461">
      <w:pPr>
        <w:pageBreakBefore w:val="0"/>
        <w:kinsoku/>
        <w:wordWrap/>
        <w:overflowPunct/>
        <w:topLinePunct w:val="0"/>
        <w:autoSpaceDE/>
        <w:autoSpaceDN/>
        <w:bidi w:val="0"/>
        <w:adjustRightInd/>
        <w:snapToGrid/>
        <w:spacing w:line="560" w:lineRule="exact"/>
        <w:ind w:firstLine="480"/>
        <w:textAlignment w:val="auto"/>
      </w:pPr>
      <w:r>
        <w:t>系统建设过程中需遵循扩展性原则，系统必须提供标准的开发接口与用户现有或将来扩展的业务系统集成，特别要加强系统设计的前瞻性、预留系统扩充和扩展能力</w:t>
      </w:r>
      <w:r>
        <w:rPr>
          <w:rFonts w:hint="eastAsia"/>
          <w:lang w:eastAsia="zh-CN"/>
        </w:rPr>
        <w:t>，</w:t>
      </w:r>
      <w:r>
        <w:rPr>
          <w:rFonts w:hint="eastAsia"/>
          <w:lang w:val="en-US" w:eastAsia="zh-CN"/>
        </w:rPr>
        <w:t>并且不收取接口费用</w:t>
      </w:r>
      <w:r>
        <w:t>。</w:t>
      </w:r>
    </w:p>
    <w:p w14:paraId="29E2BCFC">
      <w:pPr>
        <w:pageBreakBefore w:val="0"/>
        <w:kinsoku/>
        <w:wordWrap/>
        <w:overflowPunct/>
        <w:topLinePunct w:val="0"/>
        <w:autoSpaceDE/>
        <w:autoSpaceDN/>
        <w:bidi w:val="0"/>
        <w:adjustRightInd/>
        <w:snapToGrid/>
        <w:spacing w:line="560" w:lineRule="exact"/>
        <w:ind w:firstLine="480"/>
        <w:textAlignment w:val="auto"/>
      </w:pPr>
      <w:r>
        <w:t>7、系统数据安全性原则</w:t>
      </w:r>
    </w:p>
    <w:p w14:paraId="4C0C1CDD">
      <w:pPr>
        <w:pageBreakBefore w:val="0"/>
        <w:kinsoku/>
        <w:wordWrap/>
        <w:overflowPunct/>
        <w:topLinePunct w:val="0"/>
        <w:autoSpaceDE/>
        <w:autoSpaceDN/>
        <w:bidi w:val="0"/>
        <w:adjustRightInd/>
        <w:snapToGrid/>
        <w:spacing w:line="560" w:lineRule="exact"/>
        <w:ind w:firstLine="480"/>
        <w:textAlignment w:val="auto"/>
        <w:rPr>
          <w:rFonts w:eastAsia="宋体" w:cs="宋体"/>
          <w:szCs w:val="24"/>
        </w:rPr>
      </w:pPr>
      <w:r>
        <w:t>本项目涉及内部业务系统建设时应遵循安全性原则，系统必须提供基于利用严密的身份验证、访问控制、多层次的保密手段等措施，确保系统和数据的安全性和完整性。因此，系统必须能够提供有效的安全保密措施，确保整个系统的安全运行。</w:t>
      </w:r>
    </w:p>
    <w:p w14:paraId="332BC92F">
      <w:pPr>
        <w:pStyle w:val="2"/>
        <w:pageBreakBefore w:val="0"/>
        <w:numPr>
          <w:ilvl w:val="0"/>
          <w:numId w:val="0"/>
        </w:numPr>
        <w:kinsoku/>
        <w:wordWrap/>
        <w:overflowPunct/>
        <w:topLinePunct w:val="0"/>
        <w:autoSpaceDE/>
        <w:autoSpaceDN/>
        <w:bidi w:val="0"/>
        <w:adjustRightInd/>
        <w:snapToGrid/>
        <w:spacing w:before="0" w:after="0" w:line="560" w:lineRule="exact"/>
        <w:textAlignment w:val="auto"/>
      </w:pPr>
      <w:bookmarkStart w:id="1" w:name="_Toc7673"/>
      <w:bookmarkStart w:id="2" w:name="_Toc148452600"/>
      <w:r>
        <w:rPr>
          <w:rFonts w:hint="eastAsia"/>
          <w:lang w:val="en-US" w:eastAsia="zh-CN"/>
        </w:rPr>
        <w:t>三</w:t>
      </w:r>
      <w:r>
        <w:rPr>
          <w:rFonts w:hint="eastAsia"/>
        </w:rPr>
        <w:t>、</w:t>
      </w:r>
      <w:r>
        <w:rPr>
          <w:rFonts w:hint="eastAsia"/>
          <w:lang w:val="en-US" w:eastAsia="zh-CN"/>
        </w:rPr>
        <w:t>项目</w:t>
      </w:r>
      <w:r>
        <w:t>内容及数量</w:t>
      </w:r>
      <w:bookmarkEnd w:id="1"/>
      <w:bookmarkEnd w:id="2"/>
    </w:p>
    <w:p w14:paraId="588905A8">
      <w:pPr>
        <w:pStyle w:val="3"/>
        <w:pageBreakBefore w:val="0"/>
        <w:numPr>
          <w:ilvl w:val="1"/>
          <w:numId w:val="0"/>
        </w:numPr>
        <w:kinsoku/>
        <w:wordWrap/>
        <w:overflowPunct/>
        <w:topLinePunct w:val="0"/>
        <w:autoSpaceDE/>
        <w:autoSpaceDN/>
        <w:bidi w:val="0"/>
        <w:adjustRightInd/>
        <w:snapToGrid/>
        <w:spacing w:before="0" w:after="0" w:line="560" w:lineRule="exact"/>
        <w:ind w:firstLine="3012" w:firstLineChars="1000"/>
        <w:textAlignment w:val="auto"/>
      </w:pPr>
      <w:bookmarkStart w:id="3" w:name="_Toc25556"/>
      <w:bookmarkStart w:id="4" w:name="_Toc148452601"/>
      <w:r>
        <w:rPr>
          <w:rFonts w:hint="eastAsia"/>
        </w:rPr>
        <w:t>采购内容</w:t>
      </w:r>
      <w:bookmarkEnd w:id="3"/>
      <w:r>
        <w:rPr>
          <w:rFonts w:hint="eastAsia"/>
        </w:rPr>
        <w:t>及数量</w:t>
      </w:r>
      <w:bookmarkEnd w:id="4"/>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432"/>
        <w:gridCol w:w="863"/>
      </w:tblGrid>
      <w:tr w14:paraId="2E02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300D45EE">
            <w:pPr>
              <w:pStyle w:val="40"/>
              <w:pageBreakBefore w:val="0"/>
              <w:kinsoku/>
              <w:wordWrap/>
              <w:overflowPunct/>
              <w:topLinePunct w:val="0"/>
              <w:autoSpaceDE/>
              <w:autoSpaceDN/>
              <w:bidi w:val="0"/>
              <w:adjustRightInd/>
              <w:snapToGrid/>
              <w:spacing w:line="560" w:lineRule="exact"/>
              <w:jc w:val="center"/>
              <w:textAlignment w:val="auto"/>
            </w:pPr>
            <w:r>
              <w:rPr>
                <w:rFonts w:hint="eastAsia"/>
              </w:rPr>
              <w:t>序号</w:t>
            </w:r>
          </w:p>
        </w:tc>
        <w:tc>
          <w:tcPr>
            <w:tcW w:w="4101" w:type="pct"/>
            <w:shd w:val="clear" w:color="auto" w:fill="auto"/>
            <w:vAlign w:val="center"/>
          </w:tcPr>
          <w:p w14:paraId="32C08282">
            <w:pPr>
              <w:pStyle w:val="40"/>
              <w:pageBreakBefore w:val="0"/>
              <w:kinsoku/>
              <w:wordWrap/>
              <w:overflowPunct/>
              <w:topLinePunct w:val="0"/>
              <w:autoSpaceDE/>
              <w:autoSpaceDN/>
              <w:bidi w:val="0"/>
              <w:adjustRightInd/>
              <w:snapToGrid/>
              <w:spacing w:line="560" w:lineRule="exact"/>
              <w:jc w:val="center"/>
              <w:textAlignment w:val="auto"/>
            </w:pPr>
            <w:r>
              <w:rPr>
                <w:rFonts w:hint="eastAsia"/>
              </w:rPr>
              <w:t>名称</w:t>
            </w:r>
          </w:p>
        </w:tc>
        <w:tc>
          <w:tcPr>
            <w:tcW w:w="475" w:type="pct"/>
            <w:shd w:val="clear" w:color="auto" w:fill="auto"/>
            <w:vAlign w:val="center"/>
          </w:tcPr>
          <w:p w14:paraId="6B12F8E9">
            <w:pPr>
              <w:pStyle w:val="40"/>
              <w:pageBreakBefore w:val="0"/>
              <w:kinsoku/>
              <w:wordWrap/>
              <w:overflowPunct/>
              <w:topLinePunct w:val="0"/>
              <w:autoSpaceDE/>
              <w:autoSpaceDN/>
              <w:bidi w:val="0"/>
              <w:adjustRightInd/>
              <w:snapToGrid/>
              <w:spacing w:line="560" w:lineRule="exact"/>
              <w:jc w:val="center"/>
              <w:textAlignment w:val="auto"/>
            </w:pPr>
            <w:r>
              <w:rPr>
                <w:rFonts w:hint="eastAsia"/>
              </w:rPr>
              <w:t>数量</w:t>
            </w:r>
          </w:p>
        </w:tc>
      </w:tr>
      <w:tr w14:paraId="7BD8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3"/>
            <w:shd w:val="clear" w:color="auto" w:fill="auto"/>
            <w:vAlign w:val="center"/>
          </w:tcPr>
          <w:p w14:paraId="38779244">
            <w:pPr>
              <w:pStyle w:val="40"/>
              <w:pageBreakBefore w:val="0"/>
              <w:kinsoku/>
              <w:wordWrap/>
              <w:overflowPunct/>
              <w:topLinePunct w:val="0"/>
              <w:autoSpaceDE/>
              <w:autoSpaceDN/>
              <w:bidi w:val="0"/>
              <w:adjustRightInd/>
              <w:snapToGrid/>
              <w:spacing w:line="560" w:lineRule="exact"/>
              <w:textAlignment w:val="auto"/>
            </w:pPr>
            <w:r>
              <w:rPr>
                <w:rFonts w:hint="eastAsia"/>
              </w:rPr>
              <w:t>一、医院绩效</w:t>
            </w:r>
            <w:r>
              <w:rPr>
                <w:rFonts w:hint="eastAsia"/>
                <w:lang w:val="en-US" w:eastAsia="zh-CN"/>
              </w:rPr>
              <w:t>管理</w:t>
            </w:r>
            <w:r>
              <w:rPr>
                <w:rFonts w:hint="eastAsia"/>
              </w:rPr>
              <w:t>咨询服务</w:t>
            </w:r>
          </w:p>
        </w:tc>
      </w:tr>
      <w:tr w14:paraId="6405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00479CFD">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c>
          <w:tcPr>
            <w:tcW w:w="4101" w:type="pct"/>
            <w:shd w:val="clear" w:color="auto" w:fill="auto"/>
            <w:vAlign w:val="center"/>
          </w:tcPr>
          <w:p w14:paraId="15838E6F">
            <w:pPr>
              <w:pStyle w:val="40"/>
              <w:pageBreakBefore w:val="0"/>
              <w:kinsoku/>
              <w:wordWrap/>
              <w:overflowPunct/>
              <w:topLinePunct w:val="0"/>
              <w:autoSpaceDE/>
              <w:autoSpaceDN/>
              <w:bidi w:val="0"/>
              <w:adjustRightInd/>
              <w:snapToGrid/>
              <w:spacing w:line="560" w:lineRule="exact"/>
              <w:textAlignment w:val="auto"/>
            </w:pPr>
            <w:r>
              <w:rPr>
                <w:rFonts w:hint="eastAsia"/>
              </w:rPr>
              <w:t>临床医生绩效评价方案设计</w:t>
            </w:r>
          </w:p>
        </w:tc>
        <w:tc>
          <w:tcPr>
            <w:tcW w:w="475" w:type="pct"/>
            <w:shd w:val="clear" w:color="auto" w:fill="auto"/>
            <w:vAlign w:val="center"/>
          </w:tcPr>
          <w:p w14:paraId="1D53A252">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4C41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671E6F97">
            <w:pPr>
              <w:pStyle w:val="40"/>
              <w:pageBreakBefore w:val="0"/>
              <w:kinsoku/>
              <w:wordWrap/>
              <w:overflowPunct/>
              <w:topLinePunct w:val="0"/>
              <w:autoSpaceDE/>
              <w:autoSpaceDN/>
              <w:bidi w:val="0"/>
              <w:adjustRightInd/>
              <w:snapToGrid/>
              <w:spacing w:line="560" w:lineRule="exact"/>
              <w:jc w:val="center"/>
              <w:textAlignment w:val="auto"/>
            </w:pPr>
            <w:r>
              <w:rPr>
                <w:rFonts w:hint="eastAsia"/>
              </w:rPr>
              <w:t>2</w:t>
            </w:r>
          </w:p>
        </w:tc>
        <w:tc>
          <w:tcPr>
            <w:tcW w:w="4101" w:type="pct"/>
            <w:shd w:val="clear" w:color="auto" w:fill="auto"/>
            <w:vAlign w:val="center"/>
          </w:tcPr>
          <w:p w14:paraId="099993AC">
            <w:pPr>
              <w:pStyle w:val="40"/>
              <w:pageBreakBefore w:val="0"/>
              <w:kinsoku/>
              <w:wordWrap/>
              <w:overflowPunct/>
              <w:topLinePunct w:val="0"/>
              <w:autoSpaceDE/>
              <w:autoSpaceDN/>
              <w:bidi w:val="0"/>
              <w:adjustRightInd/>
              <w:snapToGrid/>
              <w:spacing w:line="560" w:lineRule="exact"/>
              <w:textAlignment w:val="auto"/>
              <w:rPr>
                <w:rFonts w:hint="eastAsia"/>
              </w:rPr>
            </w:pPr>
            <w:r>
              <w:rPr>
                <w:rFonts w:hint="eastAsia"/>
              </w:rPr>
              <w:t>临床护理绩效评价方案设计</w:t>
            </w:r>
          </w:p>
        </w:tc>
        <w:tc>
          <w:tcPr>
            <w:tcW w:w="475" w:type="pct"/>
            <w:shd w:val="clear" w:color="auto" w:fill="auto"/>
            <w:vAlign w:val="center"/>
          </w:tcPr>
          <w:p w14:paraId="4258AFBE">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5A36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5FE23A33">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3</w:t>
            </w:r>
          </w:p>
        </w:tc>
        <w:tc>
          <w:tcPr>
            <w:tcW w:w="4101" w:type="pct"/>
            <w:shd w:val="clear" w:color="auto" w:fill="auto"/>
            <w:vAlign w:val="center"/>
          </w:tcPr>
          <w:p w14:paraId="7078AA99">
            <w:pPr>
              <w:pStyle w:val="40"/>
              <w:pageBreakBefore w:val="0"/>
              <w:kinsoku/>
              <w:wordWrap/>
              <w:overflowPunct/>
              <w:topLinePunct w:val="0"/>
              <w:autoSpaceDE/>
              <w:autoSpaceDN/>
              <w:bidi w:val="0"/>
              <w:adjustRightInd/>
              <w:snapToGrid/>
              <w:spacing w:line="560" w:lineRule="exact"/>
              <w:textAlignment w:val="auto"/>
              <w:rPr>
                <w:rFonts w:hint="default" w:eastAsiaTheme="minorEastAsia"/>
                <w:lang w:val="en-US" w:eastAsia="zh-CN"/>
              </w:rPr>
            </w:pPr>
            <w:r>
              <w:rPr>
                <w:rFonts w:hint="eastAsia"/>
                <w:lang w:val="en-US" w:eastAsia="zh-CN"/>
              </w:rPr>
              <w:t>急诊科绩效评价方案设计</w:t>
            </w:r>
          </w:p>
        </w:tc>
        <w:tc>
          <w:tcPr>
            <w:tcW w:w="475" w:type="pct"/>
            <w:shd w:val="clear" w:color="auto" w:fill="auto"/>
            <w:vAlign w:val="center"/>
          </w:tcPr>
          <w:p w14:paraId="7275B6D6">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1</w:t>
            </w:r>
          </w:p>
        </w:tc>
      </w:tr>
      <w:tr w14:paraId="4F81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72F02ECC">
            <w:pPr>
              <w:pStyle w:val="40"/>
              <w:pageBreakBefore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lang w:val="en-US" w:eastAsia="zh-CN"/>
              </w:rPr>
              <w:t>4</w:t>
            </w:r>
          </w:p>
        </w:tc>
        <w:tc>
          <w:tcPr>
            <w:tcW w:w="4101" w:type="pct"/>
            <w:shd w:val="clear" w:color="auto" w:fill="auto"/>
            <w:vAlign w:val="center"/>
          </w:tcPr>
          <w:p w14:paraId="7D002BC3">
            <w:pPr>
              <w:pStyle w:val="4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重症医学科绩效评价方案设计</w:t>
            </w:r>
          </w:p>
        </w:tc>
        <w:tc>
          <w:tcPr>
            <w:tcW w:w="475" w:type="pct"/>
            <w:shd w:val="clear" w:color="auto" w:fill="auto"/>
            <w:vAlign w:val="center"/>
          </w:tcPr>
          <w:p w14:paraId="2E5BC8C0">
            <w:pPr>
              <w:pStyle w:val="40"/>
              <w:pageBreakBefore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lang w:val="en-US" w:eastAsia="zh-CN"/>
              </w:rPr>
              <w:t>1</w:t>
            </w:r>
          </w:p>
        </w:tc>
      </w:tr>
      <w:tr w14:paraId="0ED2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6FFE4420">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5</w:t>
            </w:r>
          </w:p>
        </w:tc>
        <w:tc>
          <w:tcPr>
            <w:tcW w:w="4101" w:type="pct"/>
            <w:shd w:val="clear" w:color="auto" w:fill="auto"/>
            <w:vAlign w:val="center"/>
          </w:tcPr>
          <w:p w14:paraId="447DB897">
            <w:pPr>
              <w:pStyle w:val="40"/>
              <w:pageBreakBefore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介入科绩效评价方案设计</w:t>
            </w:r>
          </w:p>
        </w:tc>
        <w:tc>
          <w:tcPr>
            <w:tcW w:w="475" w:type="pct"/>
            <w:shd w:val="clear" w:color="auto" w:fill="auto"/>
            <w:vAlign w:val="center"/>
          </w:tcPr>
          <w:p w14:paraId="4524B7D2">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1</w:t>
            </w:r>
          </w:p>
        </w:tc>
      </w:tr>
      <w:tr w14:paraId="6DEC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3A5A6B27">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6</w:t>
            </w:r>
          </w:p>
        </w:tc>
        <w:tc>
          <w:tcPr>
            <w:tcW w:w="4101" w:type="pct"/>
            <w:shd w:val="clear" w:color="auto" w:fill="auto"/>
            <w:vAlign w:val="center"/>
          </w:tcPr>
          <w:p w14:paraId="22D46E3A">
            <w:pPr>
              <w:pStyle w:val="40"/>
              <w:pageBreakBefore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手术麻醉科绩效评价方案设计</w:t>
            </w:r>
          </w:p>
        </w:tc>
        <w:tc>
          <w:tcPr>
            <w:tcW w:w="475" w:type="pct"/>
            <w:shd w:val="clear" w:color="auto" w:fill="auto"/>
            <w:vAlign w:val="center"/>
          </w:tcPr>
          <w:p w14:paraId="541016B0">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1</w:t>
            </w:r>
          </w:p>
        </w:tc>
      </w:tr>
      <w:tr w14:paraId="590E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6455847F">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eastAsia="zh-CN"/>
              </w:rPr>
            </w:pPr>
            <w:r>
              <w:rPr>
                <w:rFonts w:hint="eastAsia"/>
                <w:lang w:val="en-US" w:eastAsia="zh-CN"/>
              </w:rPr>
              <w:t>7</w:t>
            </w:r>
          </w:p>
        </w:tc>
        <w:tc>
          <w:tcPr>
            <w:tcW w:w="4101" w:type="pct"/>
            <w:shd w:val="clear" w:color="auto" w:fill="auto"/>
            <w:vAlign w:val="center"/>
          </w:tcPr>
          <w:p w14:paraId="18D2E60A">
            <w:pPr>
              <w:pStyle w:val="40"/>
              <w:pageBreakBefore w:val="0"/>
              <w:kinsoku/>
              <w:wordWrap/>
              <w:overflowPunct/>
              <w:topLinePunct w:val="0"/>
              <w:autoSpaceDE/>
              <w:autoSpaceDN/>
              <w:bidi w:val="0"/>
              <w:adjustRightInd/>
              <w:snapToGrid/>
              <w:spacing w:line="560" w:lineRule="exact"/>
              <w:textAlignment w:val="auto"/>
            </w:pPr>
            <w:r>
              <w:rPr>
                <w:rFonts w:hint="eastAsia"/>
              </w:rPr>
              <w:t>医技科室绩效评价方案设计</w:t>
            </w:r>
          </w:p>
        </w:tc>
        <w:tc>
          <w:tcPr>
            <w:tcW w:w="475" w:type="pct"/>
            <w:shd w:val="clear" w:color="auto" w:fill="auto"/>
            <w:vAlign w:val="center"/>
          </w:tcPr>
          <w:p w14:paraId="4D76B1CE">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042C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3DC833EB">
            <w:pPr>
              <w:pStyle w:val="40"/>
              <w:pageBreakBefore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lang w:val="en-US" w:eastAsia="zh-CN"/>
              </w:rPr>
              <w:t>8</w:t>
            </w:r>
          </w:p>
        </w:tc>
        <w:tc>
          <w:tcPr>
            <w:tcW w:w="4101" w:type="pct"/>
            <w:shd w:val="clear" w:color="auto" w:fill="auto"/>
            <w:vAlign w:val="center"/>
          </w:tcPr>
          <w:p w14:paraId="5D19966C">
            <w:pPr>
              <w:pStyle w:val="40"/>
              <w:pageBreakBefore w:val="0"/>
              <w:kinsoku/>
              <w:wordWrap/>
              <w:overflowPunct/>
              <w:topLinePunct w:val="0"/>
              <w:autoSpaceDE/>
              <w:autoSpaceDN/>
              <w:bidi w:val="0"/>
              <w:adjustRightInd/>
              <w:snapToGrid/>
              <w:spacing w:line="560" w:lineRule="exact"/>
              <w:textAlignment w:val="auto"/>
              <w:rPr>
                <w:rFonts w:hint="default" w:eastAsia="宋体" w:cs="宋体"/>
                <w:szCs w:val="24"/>
                <w:lang w:val="en-US" w:eastAsia="zh-CN"/>
              </w:rPr>
            </w:pPr>
            <w:r>
              <w:rPr>
                <w:rFonts w:hint="eastAsia" w:eastAsia="宋体" w:cs="宋体"/>
                <w:szCs w:val="24"/>
                <w:lang w:val="en-US" w:eastAsia="zh-CN"/>
              </w:rPr>
              <w:t>健康体检中心绩效评价方案设计</w:t>
            </w:r>
          </w:p>
        </w:tc>
        <w:tc>
          <w:tcPr>
            <w:tcW w:w="475" w:type="pct"/>
            <w:shd w:val="clear" w:color="auto" w:fill="auto"/>
            <w:vAlign w:val="center"/>
          </w:tcPr>
          <w:p w14:paraId="31C8EA75">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1</w:t>
            </w:r>
          </w:p>
        </w:tc>
      </w:tr>
      <w:tr w14:paraId="586B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06AA28EC">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eastAsia="zh-CN"/>
              </w:rPr>
            </w:pPr>
            <w:r>
              <w:rPr>
                <w:rFonts w:hint="eastAsia"/>
                <w:lang w:val="en-US" w:eastAsia="zh-CN"/>
              </w:rPr>
              <w:t>9</w:t>
            </w:r>
          </w:p>
        </w:tc>
        <w:tc>
          <w:tcPr>
            <w:tcW w:w="4101" w:type="pct"/>
            <w:shd w:val="clear" w:color="auto" w:fill="auto"/>
            <w:vAlign w:val="center"/>
          </w:tcPr>
          <w:p w14:paraId="677EA9F0">
            <w:pPr>
              <w:pStyle w:val="40"/>
              <w:pageBreakBefore w:val="0"/>
              <w:kinsoku/>
              <w:wordWrap/>
              <w:overflowPunct/>
              <w:topLinePunct w:val="0"/>
              <w:autoSpaceDE/>
              <w:autoSpaceDN/>
              <w:bidi w:val="0"/>
              <w:adjustRightInd/>
              <w:snapToGrid/>
              <w:spacing w:line="560" w:lineRule="exact"/>
              <w:textAlignment w:val="auto"/>
              <w:rPr>
                <w:color w:val="auto"/>
              </w:rPr>
            </w:pPr>
            <w:r>
              <w:rPr>
                <w:rFonts w:hint="eastAsia" w:eastAsia="宋体" w:cs="宋体"/>
                <w:color w:val="auto"/>
                <w:szCs w:val="24"/>
                <w:lang w:val="en-US" w:eastAsia="zh-CN"/>
              </w:rPr>
              <w:t>收费室</w:t>
            </w:r>
            <w:r>
              <w:rPr>
                <w:rFonts w:hint="eastAsia" w:eastAsia="宋体" w:cs="宋体"/>
                <w:color w:val="auto"/>
                <w:szCs w:val="24"/>
              </w:rPr>
              <w:t>、药</w:t>
            </w:r>
            <w:r>
              <w:rPr>
                <w:rFonts w:hint="eastAsia" w:eastAsia="宋体" w:cs="宋体"/>
                <w:color w:val="auto"/>
                <w:szCs w:val="24"/>
                <w:lang w:val="en-US" w:eastAsia="zh-CN"/>
              </w:rPr>
              <w:t>房</w:t>
            </w:r>
            <w:r>
              <w:rPr>
                <w:rFonts w:hint="eastAsia" w:eastAsia="宋体" w:cs="宋体"/>
                <w:color w:val="auto"/>
                <w:szCs w:val="24"/>
              </w:rPr>
              <w:t>、供应室</w:t>
            </w:r>
            <w:r>
              <w:rPr>
                <w:rFonts w:hint="eastAsia" w:eastAsia="宋体" w:cs="宋体"/>
                <w:color w:val="auto"/>
                <w:szCs w:val="24"/>
                <w:lang w:eastAsia="zh-CN"/>
              </w:rPr>
              <w:t>、</w:t>
            </w:r>
            <w:r>
              <w:rPr>
                <w:rFonts w:hint="eastAsia" w:eastAsia="宋体" w:cs="宋体"/>
                <w:color w:val="auto"/>
                <w:szCs w:val="24"/>
                <w:lang w:val="en-US" w:eastAsia="zh-CN"/>
              </w:rPr>
              <w:t>救护车队、制剂室、临床药师</w:t>
            </w:r>
            <w:r>
              <w:rPr>
                <w:rFonts w:hint="eastAsia" w:eastAsia="宋体" w:cs="宋体"/>
                <w:color w:val="auto"/>
                <w:szCs w:val="24"/>
              </w:rPr>
              <w:t>等</w:t>
            </w:r>
            <w:r>
              <w:rPr>
                <w:rFonts w:hint="eastAsia" w:eastAsia="宋体" w:cs="宋体"/>
                <w:color w:val="auto"/>
                <w:szCs w:val="24"/>
                <w:lang w:val="en-US" w:eastAsia="zh-CN"/>
              </w:rPr>
              <w:t>医辅</w:t>
            </w:r>
            <w:r>
              <w:rPr>
                <w:rFonts w:hint="eastAsia" w:eastAsia="宋体" w:cs="宋体"/>
                <w:color w:val="auto"/>
                <w:szCs w:val="24"/>
              </w:rPr>
              <w:t>科室绩效评价方案设计</w:t>
            </w:r>
          </w:p>
        </w:tc>
        <w:tc>
          <w:tcPr>
            <w:tcW w:w="475" w:type="pct"/>
            <w:shd w:val="clear" w:color="auto" w:fill="auto"/>
            <w:vAlign w:val="center"/>
          </w:tcPr>
          <w:p w14:paraId="0B7F19B7">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443D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60DAA0B7">
            <w:pPr>
              <w:pStyle w:val="40"/>
              <w:pageBreakBefore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10</w:t>
            </w:r>
          </w:p>
        </w:tc>
        <w:tc>
          <w:tcPr>
            <w:tcW w:w="4101" w:type="pct"/>
            <w:shd w:val="clear" w:color="auto" w:fill="auto"/>
            <w:vAlign w:val="center"/>
          </w:tcPr>
          <w:p w14:paraId="2D231505">
            <w:pPr>
              <w:pStyle w:val="40"/>
              <w:pageBreakBefore w:val="0"/>
              <w:kinsoku/>
              <w:wordWrap/>
              <w:overflowPunct/>
              <w:topLinePunct w:val="0"/>
              <w:autoSpaceDE/>
              <w:autoSpaceDN/>
              <w:bidi w:val="0"/>
              <w:adjustRightInd/>
              <w:snapToGrid/>
              <w:spacing w:line="560" w:lineRule="exact"/>
              <w:textAlignment w:val="auto"/>
              <w:rPr>
                <w:rFonts w:eastAsia="宋体" w:cs="宋体"/>
                <w:color w:val="auto"/>
                <w:szCs w:val="24"/>
              </w:rPr>
            </w:pPr>
            <w:r>
              <w:rPr>
                <w:rFonts w:hint="eastAsia" w:eastAsia="宋体" w:cs="宋体"/>
                <w:color w:val="auto"/>
                <w:szCs w:val="24"/>
              </w:rPr>
              <w:t>手术专项绩效评价方案设计</w:t>
            </w:r>
          </w:p>
        </w:tc>
        <w:tc>
          <w:tcPr>
            <w:tcW w:w="475" w:type="pct"/>
            <w:shd w:val="clear" w:color="auto" w:fill="auto"/>
            <w:vAlign w:val="center"/>
          </w:tcPr>
          <w:p w14:paraId="50566DED">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4A53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1367047C">
            <w:pPr>
              <w:pStyle w:val="40"/>
              <w:pageBreakBefore w:val="0"/>
              <w:kinsoku/>
              <w:wordWrap/>
              <w:overflowPunct/>
              <w:topLinePunct w:val="0"/>
              <w:autoSpaceDE/>
              <w:autoSpaceDN/>
              <w:bidi w:val="0"/>
              <w:adjustRightInd/>
              <w:snapToGrid/>
              <w:spacing w:line="560" w:lineRule="exact"/>
              <w:jc w:val="center"/>
              <w:textAlignment w:val="auto"/>
              <w:rPr>
                <w:rFonts w:hint="default"/>
                <w:color w:val="FF0000"/>
                <w:lang w:val="en-US" w:eastAsia="zh-CN"/>
              </w:rPr>
            </w:pPr>
            <w:r>
              <w:rPr>
                <w:rFonts w:hint="eastAsia"/>
                <w:color w:val="FF0000"/>
                <w:lang w:val="en-US" w:eastAsia="zh-CN"/>
              </w:rPr>
              <w:t>11</w:t>
            </w:r>
          </w:p>
        </w:tc>
        <w:tc>
          <w:tcPr>
            <w:tcW w:w="4101" w:type="pct"/>
            <w:shd w:val="clear" w:color="auto" w:fill="auto"/>
            <w:vAlign w:val="center"/>
          </w:tcPr>
          <w:p w14:paraId="33894A36">
            <w:pPr>
              <w:pStyle w:val="40"/>
              <w:pageBreakBefore w:val="0"/>
              <w:kinsoku/>
              <w:wordWrap/>
              <w:overflowPunct/>
              <w:topLinePunct w:val="0"/>
              <w:autoSpaceDE/>
              <w:autoSpaceDN/>
              <w:bidi w:val="0"/>
              <w:adjustRightInd/>
              <w:snapToGrid/>
              <w:spacing w:line="560" w:lineRule="exact"/>
              <w:textAlignment w:val="auto"/>
              <w:rPr>
                <w:rFonts w:hint="default" w:eastAsia="宋体" w:cs="宋体"/>
                <w:color w:val="auto"/>
                <w:szCs w:val="24"/>
                <w:lang w:val="en-US" w:eastAsia="zh-CN"/>
              </w:rPr>
            </w:pPr>
            <w:r>
              <w:rPr>
                <w:rFonts w:hint="eastAsia" w:eastAsia="宋体" w:cs="宋体"/>
                <w:color w:val="auto"/>
                <w:szCs w:val="24"/>
                <w:lang w:val="en-US" w:eastAsia="zh-CN"/>
              </w:rPr>
              <w:t>内镜中心绩效评价方案设计</w:t>
            </w:r>
          </w:p>
        </w:tc>
        <w:tc>
          <w:tcPr>
            <w:tcW w:w="475" w:type="pct"/>
            <w:shd w:val="clear" w:color="auto" w:fill="auto"/>
            <w:vAlign w:val="center"/>
          </w:tcPr>
          <w:p w14:paraId="0D0AA67E">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1</w:t>
            </w:r>
          </w:p>
        </w:tc>
      </w:tr>
      <w:tr w14:paraId="26F3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0BFCBF08">
            <w:pPr>
              <w:pStyle w:val="40"/>
              <w:pageBreakBefore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12</w:t>
            </w:r>
          </w:p>
        </w:tc>
        <w:tc>
          <w:tcPr>
            <w:tcW w:w="4101" w:type="pct"/>
            <w:shd w:val="clear" w:color="auto" w:fill="auto"/>
            <w:vAlign w:val="center"/>
          </w:tcPr>
          <w:p w14:paraId="18FB8DEC">
            <w:pPr>
              <w:pStyle w:val="40"/>
              <w:pageBreakBefore w:val="0"/>
              <w:kinsoku/>
              <w:wordWrap/>
              <w:overflowPunct/>
              <w:topLinePunct w:val="0"/>
              <w:autoSpaceDE/>
              <w:autoSpaceDN/>
              <w:bidi w:val="0"/>
              <w:adjustRightInd/>
              <w:snapToGrid/>
              <w:spacing w:line="560" w:lineRule="exact"/>
              <w:textAlignment w:val="auto"/>
            </w:pPr>
            <w:r>
              <w:rPr>
                <w:rFonts w:hint="eastAsia"/>
              </w:rPr>
              <w:t>行政后勤科室绩效评价方案设计</w:t>
            </w:r>
          </w:p>
        </w:tc>
        <w:tc>
          <w:tcPr>
            <w:tcW w:w="475" w:type="pct"/>
            <w:shd w:val="clear" w:color="auto" w:fill="auto"/>
            <w:vAlign w:val="center"/>
          </w:tcPr>
          <w:p w14:paraId="2697D82F">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6519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6A6169CE">
            <w:pPr>
              <w:pStyle w:val="40"/>
              <w:pageBreakBefore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13</w:t>
            </w:r>
          </w:p>
        </w:tc>
        <w:tc>
          <w:tcPr>
            <w:tcW w:w="4101" w:type="pct"/>
            <w:shd w:val="clear" w:color="auto" w:fill="auto"/>
          </w:tcPr>
          <w:p w14:paraId="0C7FEB4F">
            <w:pPr>
              <w:pStyle w:val="40"/>
              <w:pageBreakBefore w:val="0"/>
              <w:kinsoku/>
              <w:wordWrap/>
              <w:overflowPunct/>
              <w:topLinePunct w:val="0"/>
              <w:autoSpaceDE/>
              <w:autoSpaceDN/>
              <w:bidi w:val="0"/>
              <w:adjustRightInd/>
              <w:snapToGrid/>
              <w:spacing w:line="560" w:lineRule="exact"/>
              <w:textAlignment w:val="auto"/>
            </w:pPr>
            <w:r>
              <w:rPr>
                <w:rFonts w:hint="eastAsia"/>
              </w:rPr>
              <w:t>科室直接成本管控方案设计</w:t>
            </w:r>
          </w:p>
        </w:tc>
        <w:tc>
          <w:tcPr>
            <w:tcW w:w="475" w:type="pct"/>
            <w:shd w:val="clear" w:color="auto" w:fill="auto"/>
            <w:vAlign w:val="center"/>
          </w:tcPr>
          <w:p w14:paraId="588C33B4">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486F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66036293">
            <w:pPr>
              <w:pStyle w:val="40"/>
              <w:pageBreakBefore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14</w:t>
            </w:r>
          </w:p>
        </w:tc>
        <w:tc>
          <w:tcPr>
            <w:tcW w:w="4101" w:type="pct"/>
            <w:shd w:val="clear" w:color="auto" w:fill="auto"/>
          </w:tcPr>
          <w:p w14:paraId="31831D96">
            <w:pPr>
              <w:pStyle w:val="40"/>
              <w:pageBreakBefore w:val="0"/>
              <w:kinsoku/>
              <w:wordWrap/>
              <w:overflowPunct/>
              <w:topLinePunct w:val="0"/>
              <w:autoSpaceDE/>
              <w:autoSpaceDN/>
              <w:bidi w:val="0"/>
              <w:adjustRightInd/>
              <w:snapToGrid/>
              <w:spacing w:line="560" w:lineRule="exact"/>
              <w:textAlignment w:val="auto"/>
            </w:pPr>
            <w:r>
              <w:rPr>
                <w:rFonts w:hint="eastAsia"/>
              </w:rPr>
              <w:t>核算单元嵌入关键考核指标方案设计</w:t>
            </w:r>
          </w:p>
        </w:tc>
        <w:tc>
          <w:tcPr>
            <w:tcW w:w="475" w:type="pct"/>
            <w:shd w:val="clear" w:color="auto" w:fill="auto"/>
            <w:vAlign w:val="center"/>
          </w:tcPr>
          <w:p w14:paraId="16B79755">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5CF0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0D52B737">
            <w:pPr>
              <w:pStyle w:val="40"/>
              <w:pageBreakBefore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15</w:t>
            </w:r>
          </w:p>
        </w:tc>
        <w:tc>
          <w:tcPr>
            <w:tcW w:w="4101" w:type="pct"/>
            <w:shd w:val="clear" w:color="auto" w:fill="auto"/>
          </w:tcPr>
          <w:p w14:paraId="0A742EBB">
            <w:pPr>
              <w:pStyle w:val="40"/>
              <w:pageBreakBefore w:val="0"/>
              <w:kinsoku/>
              <w:wordWrap/>
              <w:overflowPunct/>
              <w:topLinePunct w:val="0"/>
              <w:autoSpaceDE/>
              <w:autoSpaceDN/>
              <w:bidi w:val="0"/>
              <w:adjustRightInd/>
              <w:snapToGrid/>
              <w:spacing w:line="560" w:lineRule="exact"/>
              <w:textAlignment w:val="auto"/>
            </w:pPr>
            <w:r>
              <w:rPr>
                <w:rFonts w:hint="eastAsia"/>
              </w:rPr>
              <w:t>二次分配指导意见方案设计</w:t>
            </w:r>
          </w:p>
        </w:tc>
        <w:tc>
          <w:tcPr>
            <w:tcW w:w="475" w:type="pct"/>
            <w:shd w:val="clear" w:color="auto" w:fill="auto"/>
            <w:vAlign w:val="center"/>
          </w:tcPr>
          <w:p w14:paraId="04F6038D">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5C08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6845CF19">
            <w:pPr>
              <w:pStyle w:val="40"/>
              <w:pageBreakBefore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16</w:t>
            </w:r>
          </w:p>
        </w:tc>
        <w:tc>
          <w:tcPr>
            <w:tcW w:w="4101" w:type="pct"/>
            <w:shd w:val="clear" w:color="auto" w:fill="auto"/>
            <w:vAlign w:val="center"/>
          </w:tcPr>
          <w:p w14:paraId="0CF70DD7">
            <w:pPr>
              <w:pStyle w:val="40"/>
              <w:pageBreakBefore w:val="0"/>
              <w:kinsoku/>
              <w:wordWrap/>
              <w:overflowPunct/>
              <w:topLinePunct w:val="0"/>
              <w:autoSpaceDE/>
              <w:autoSpaceDN/>
              <w:bidi w:val="0"/>
              <w:adjustRightInd/>
              <w:snapToGrid/>
              <w:spacing w:line="560" w:lineRule="exact"/>
              <w:textAlignment w:val="auto"/>
            </w:pPr>
            <w:r>
              <w:rPr>
                <w:rFonts w:hint="eastAsia"/>
              </w:rPr>
              <w:t>DRG绩效评价方案设计</w:t>
            </w:r>
          </w:p>
        </w:tc>
        <w:tc>
          <w:tcPr>
            <w:tcW w:w="475" w:type="pct"/>
            <w:shd w:val="clear" w:color="auto" w:fill="auto"/>
            <w:vAlign w:val="center"/>
          </w:tcPr>
          <w:p w14:paraId="084C9298">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39E9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79E7B5D5">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t>1</w:t>
            </w:r>
            <w:r>
              <w:rPr>
                <w:rFonts w:hint="eastAsia"/>
                <w:lang w:val="en-US" w:eastAsia="zh-CN"/>
              </w:rPr>
              <w:t>7</w:t>
            </w:r>
          </w:p>
        </w:tc>
        <w:tc>
          <w:tcPr>
            <w:tcW w:w="4101" w:type="pct"/>
            <w:shd w:val="clear" w:color="auto" w:fill="auto"/>
            <w:vAlign w:val="center"/>
          </w:tcPr>
          <w:p w14:paraId="71DE3769">
            <w:pPr>
              <w:pStyle w:val="40"/>
              <w:pageBreakBefore w:val="0"/>
              <w:kinsoku/>
              <w:wordWrap/>
              <w:overflowPunct/>
              <w:topLinePunct w:val="0"/>
              <w:autoSpaceDE/>
              <w:autoSpaceDN/>
              <w:bidi w:val="0"/>
              <w:adjustRightInd/>
              <w:snapToGrid/>
              <w:spacing w:line="560" w:lineRule="exact"/>
              <w:textAlignment w:val="auto"/>
            </w:pPr>
            <w:r>
              <w:rPr>
                <w:rFonts w:hint="eastAsia"/>
              </w:rPr>
              <w:t>科研教学等专项绩效评价方案设计</w:t>
            </w:r>
          </w:p>
        </w:tc>
        <w:tc>
          <w:tcPr>
            <w:tcW w:w="475" w:type="pct"/>
            <w:shd w:val="clear" w:color="auto" w:fill="auto"/>
            <w:vAlign w:val="center"/>
          </w:tcPr>
          <w:p w14:paraId="049FC7ED">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7903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4745FAE1">
            <w:pPr>
              <w:pStyle w:val="40"/>
              <w:pageBreakBefore w:val="0"/>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rPr>
              <w:t>1</w:t>
            </w:r>
            <w:r>
              <w:rPr>
                <w:rFonts w:hint="eastAsia"/>
                <w:lang w:val="en-US" w:eastAsia="zh-CN"/>
              </w:rPr>
              <w:t>8</w:t>
            </w:r>
          </w:p>
        </w:tc>
        <w:tc>
          <w:tcPr>
            <w:tcW w:w="4101" w:type="pct"/>
            <w:shd w:val="clear" w:color="auto" w:fill="auto"/>
          </w:tcPr>
          <w:p w14:paraId="7DCC0762">
            <w:pPr>
              <w:pStyle w:val="40"/>
              <w:pageBreakBefore w:val="0"/>
              <w:kinsoku/>
              <w:wordWrap/>
              <w:overflowPunct/>
              <w:topLinePunct w:val="0"/>
              <w:autoSpaceDE/>
              <w:autoSpaceDN/>
              <w:bidi w:val="0"/>
              <w:adjustRightInd/>
              <w:snapToGrid/>
              <w:spacing w:line="560" w:lineRule="exact"/>
              <w:textAlignment w:val="auto"/>
            </w:pPr>
            <w:r>
              <w:t>三级公立中医</w:t>
            </w:r>
            <w:r>
              <w:rPr>
                <w:rFonts w:hint="eastAsia"/>
                <w:lang w:val="en-US" w:eastAsia="zh-CN"/>
              </w:rPr>
              <w:t>医</w:t>
            </w:r>
            <w:r>
              <w:t>院66条绩效考核指标方案设计</w:t>
            </w:r>
          </w:p>
        </w:tc>
        <w:tc>
          <w:tcPr>
            <w:tcW w:w="475" w:type="pct"/>
            <w:shd w:val="clear" w:color="auto" w:fill="auto"/>
            <w:vAlign w:val="center"/>
          </w:tcPr>
          <w:p w14:paraId="3FC301CA">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r w14:paraId="6B5A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69687BA0">
            <w:pPr>
              <w:pStyle w:val="40"/>
              <w:pageBreakBefore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19</w:t>
            </w:r>
          </w:p>
        </w:tc>
        <w:tc>
          <w:tcPr>
            <w:tcW w:w="4101" w:type="pct"/>
            <w:shd w:val="clear" w:color="auto" w:fill="auto"/>
          </w:tcPr>
          <w:p w14:paraId="2DED2E39">
            <w:pPr>
              <w:pStyle w:val="40"/>
              <w:pageBreakBefore w:val="0"/>
              <w:kinsoku/>
              <w:wordWrap/>
              <w:overflowPunct/>
              <w:topLinePunct w:val="0"/>
              <w:autoSpaceDE/>
              <w:autoSpaceDN/>
              <w:bidi w:val="0"/>
              <w:adjustRightInd/>
              <w:snapToGrid/>
              <w:spacing w:line="560" w:lineRule="exact"/>
              <w:textAlignment w:val="auto"/>
              <w:rPr>
                <w:rFonts w:hint="default" w:eastAsiaTheme="minorEastAsia"/>
                <w:color w:val="auto"/>
                <w:lang w:val="en-US" w:eastAsia="zh-CN"/>
              </w:rPr>
            </w:pPr>
            <w:r>
              <w:rPr>
                <w:rFonts w:hint="eastAsia"/>
                <w:color w:val="auto"/>
                <w:lang w:val="en-US" w:eastAsia="zh-CN"/>
              </w:rPr>
              <w:t>医院医德医风考核指标方案设计</w:t>
            </w:r>
          </w:p>
        </w:tc>
        <w:tc>
          <w:tcPr>
            <w:tcW w:w="475" w:type="pct"/>
            <w:shd w:val="clear" w:color="auto" w:fill="auto"/>
            <w:vAlign w:val="center"/>
          </w:tcPr>
          <w:p w14:paraId="7183C12E">
            <w:pPr>
              <w:pStyle w:val="40"/>
              <w:pageBreakBefore w:val="0"/>
              <w:kinsoku/>
              <w:wordWrap/>
              <w:overflowPunct/>
              <w:topLinePunct w:val="0"/>
              <w:autoSpaceDE/>
              <w:autoSpaceDN/>
              <w:bidi w:val="0"/>
              <w:adjustRightInd/>
              <w:snapToGrid/>
              <w:spacing w:line="560" w:lineRule="exact"/>
              <w:jc w:val="center"/>
              <w:textAlignment w:val="auto"/>
              <w:rPr>
                <w:rFonts w:hint="eastAsia"/>
              </w:rPr>
            </w:pPr>
          </w:p>
        </w:tc>
      </w:tr>
      <w:tr w14:paraId="2BAF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55BBB989">
            <w:pPr>
              <w:pStyle w:val="40"/>
              <w:pageBreakBefore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20</w:t>
            </w:r>
          </w:p>
        </w:tc>
        <w:tc>
          <w:tcPr>
            <w:tcW w:w="4101" w:type="pct"/>
            <w:shd w:val="clear" w:color="auto" w:fill="auto"/>
          </w:tcPr>
          <w:p w14:paraId="229272D1">
            <w:pPr>
              <w:pStyle w:val="40"/>
              <w:pageBreakBefore w:val="0"/>
              <w:kinsoku/>
              <w:wordWrap/>
              <w:overflowPunct/>
              <w:topLinePunct w:val="0"/>
              <w:autoSpaceDE/>
              <w:autoSpaceDN/>
              <w:bidi w:val="0"/>
              <w:adjustRightInd/>
              <w:snapToGrid/>
              <w:spacing w:line="560" w:lineRule="exact"/>
              <w:textAlignment w:val="auto"/>
              <w:rPr>
                <w:rFonts w:hint="default" w:eastAsiaTheme="minorEastAsia"/>
                <w:color w:val="auto"/>
                <w:lang w:val="en-US" w:eastAsia="zh-CN"/>
              </w:rPr>
            </w:pPr>
            <w:r>
              <w:rPr>
                <w:rFonts w:hint="eastAsia"/>
                <w:color w:val="auto"/>
                <w:lang w:val="en-US" w:eastAsia="zh-CN"/>
              </w:rPr>
              <w:t>根据医院需要提供其他绩效评价方案设计</w:t>
            </w:r>
          </w:p>
        </w:tc>
        <w:tc>
          <w:tcPr>
            <w:tcW w:w="475" w:type="pct"/>
            <w:shd w:val="clear" w:color="auto" w:fill="auto"/>
            <w:vAlign w:val="center"/>
          </w:tcPr>
          <w:p w14:paraId="309E6D62">
            <w:pPr>
              <w:pStyle w:val="40"/>
              <w:pageBreakBefore w:val="0"/>
              <w:kinsoku/>
              <w:wordWrap/>
              <w:overflowPunct/>
              <w:topLinePunct w:val="0"/>
              <w:autoSpaceDE/>
              <w:autoSpaceDN/>
              <w:bidi w:val="0"/>
              <w:adjustRightInd/>
              <w:snapToGrid/>
              <w:spacing w:line="560" w:lineRule="exact"/>
              <w:jc w:val="center"/>
              <w:textAlignment w:val="auto"/>
              <w:rPr>
                <w:rFonts w:hint="eastAsia"/>
              </w:rPr>
            </w:pPr>
          </w:p>
        </w:tc>
      </w:tr>
      <w:tr w14:paraId="64D0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3"/>
            <w:shd w:val="clear" w:color="auto" w:fill="auto"/>
            <w:vAlign w:val="center"/>
          </w:tcPr>
          <w:p w14:paraId="67EEE15E">
            <w:pPr>
              <w:pStyle w:val="40"/>
              <w:pageBreakBefore w:val="0"/>
              <w:kinsoku/>
              <w:wordWrap/>
              <w:overflowPunct/>
              <w:topLinePunct w:val="0"/>
              <w:autoSpaceDE/>
              <w:autoSpaceDN/>
              <w:bidi w:val="0"/>
              <w:adjustRightInd/>
              <w:snapToGrid/>
              <w:spacing w:line="560" w:lineRule="exact"/>
              <w:textAlignment w:val="auto"/>
            </w:pPr>
            <w:r>
              <w:rPr>
                <w:rFonts w:hint="eastAsia"/>
              </w:rPr>
              <w:t>二、医院绩效管理软件系统</w:t>
            </w:r>
          </w:p>
        </w:tc>
      </w:tr>
      <w:tr w14:paraId="70CD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3" w:type="pct"/>
            <w:shd w:val="clear" w:color="auto" w:fill="auto"/>
            <w:vAlign w:val="center"/>
          </w:tcPr>
          <w:p w14:paraId="520BEE5A">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c>
          <w:tcPr>
            <w:tcW w:w="4101" w:type="pct"/>
            <w:shd w:val="clear" w:color="auto" w:fill="auto"/>
            <w:vAlign w:val="center"/>
          </w:tcPr>
          <w:p w14:paraId="5A8BD189">
            <w:pPr>
              <w:pStyle w:val="40"/>
              <w:pageBreakBefore w:val="0"/>
              <w:kinsoku/>
              <w:wordWrap/>
              <w:overflowPunct/>
              <w:topLinePunct w:val="0"/>
              <w:autoSpaceDE/>
              <w:autoSpaceDN/>
              <w:bidi w:val="0"/>
              <w:adjustRightInd/>
              <w:snapToGrid/>
              <w:spacing w:line="560" w:lineRule="exact"/>
              <w:textAlignment w:val="auto"/>
            </w:pPr>
            <w:r>
              <w:t>基于RBRVS的医院绩效评价管理系统</w:t>
            </w:r>
          </w:p>
        </w:tc>
        <w:tc>
          <w:tcPr>
            <w:tcW w:w="475" w:type="pct"/>
            <w:shd w:val="clear" w:color="auto" w:fill="auto"/>
            <w:vAlign w:val="center"/>
          </w:tcPr>
          <w:p w14:paraId="5875CAAF">
            <w:pPr>
              <w:pStyle w:val="40"/>
              <w:pageBreakBefore w:val="0"/>
              <w:kinsoku/>
              <w:wordWrap/>
              <w:overflowPunct/>
              <w:topLinePunct w:val="0"/>
              <w:autoSpaceDE/>
              <w:autoSpaceDN/>
              <w:bidi w:val="0"/>
              <w:adjustRightInd/>
              <w:snapToGrid/>
              <w:spacing w:line="560" w:lineRule="exact"/>
              <w:jc w:val="center"/>
              <w:textAlignment w:val="auto"/>
            </w:pPr>
            <w:r>
              <w:rPr>
                <w:rFonts w:hint="eastAsia"/>
              </w:rPr>
              <w:t>1</w:t>
            </w:r>
          </w:p>
        </w:tc>
      </w:tr>
    </w:tbl>
    <w:p w14:paraId="15968E63">
      <w:pPr>
        <w:pageBreakBefore w:val="0"/>
        <w:widowControl/>
        <w:kinsoku/>
        <w:wordWrap/>
        <w:overflowPunct/>
        <w:topLinePunct w:val="0"/>
        <w:autoSpaceDE/>
        <w:autoSpaceDN/>
        <w:bidi w:val="0"/>
        <w:adjustRightInd/>
        <w:snapToGrid/>
        <w:spacing w:line="560" w:lineRule="exact"/>
        <w:ind w:firstLine="0" w:firstLineChars="0"/>
        <w:jc w:val="left"/>
        <w:textAlignment w:val="auto"/>
      </w:pPr>
      <w:bookmarkStart w:id="5" w:name="_Toc117101187"/>
      <w:bookmarkStart w:id="6" w:name="_Toc148452605"/>
    </w:p>
    <w:p w14:paraId="3120695D">
      <w:pPr>
        <w:pageBreakBefore w:val="0"/>
        <w:widowControl/>
        <w:numPr>
          <w:ilvl w:val="0"/>
          <w:numId w:val="2"/>
        </w:numPr>
        <w:kinsoku/>
        <w:wordWrap/>
        <w:overflowPunct/>
        <w:topLinePunct w:val="0"/>
        <w:autoSpaceDE/>
        <w:autoSpaceDN/>
        <w:bidi w:val="0"/>
        <w:adjustRightInd/>
        <w:snapToGrid/>
        <w:spacing w:line="560" w:lineRule="exact"/>
        <w:ind w:firstLine="0" w:firstLineChars="0"/>
        <w:jc w:val="left"/>
        <w:textAlignment w:val="auto"/>
        <w:rPr>
          <w:rFonts w:hint="eastAsia"/>
          <w:b/>
          <w:bCs/>
          <w:sz w:val="32"/>
          <w:szCs w:val="32"/>
        </w:rPr>
      </w:pPr>
      <w:r>
        <w:rPr>
          <w:rFonts w:hint="eastAsia"/>
          <w:b/>
          <w:bCs/>
          <w:sz w:val="32"/>
          <w:szCs w:val="32"/>
          <w:lang w:val="en-US" w:eastAsia="zh-CN"/>
        </w:rPr>
        <w:t>项目</w:t>
      </w:r>
      <w:r>
        <w:rPr>
          <w:rFonts w:hint="eastAsia"/>
          <w:b/>
          <w:bCs/>
          <w:sz w:val="32"/>
          <w:szCs w:val="32"/>
        </w:rPr>
        <w:t>内容的具体要求</w:t>
      </w:r>
    </w:p>
    <w:p w14:paraId="20FA2294">
      <w:pPr>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b/>
          <w:bCs/>
          <w:sz w:val="32"/>
          <w:szCs w:val="32"/>
        </w:rPr>
      </w:pPr>
    </w:p>
    <w:p w14:paraId="0B639141">
      <w:pPr>
        <w:pageBreakBefore w:val="0"/>
        <w:widowControl/>
        <w:kinsoku/>
        <w:wordWrap/>
        <w:overflowPunct/>
        <w:topLinePunct w:val="0"/>
        <w:autoSpaceDE/>
        <w:autoSpaceDN/>
        <w:bidi w:val="0"/>
        <w:adjustRightInd/>
        <w:snapToGrid/>
        <w:spacing w:line="560" w:lineRule="exact"/>
        <w:ind w:firstLine="0" w:firstLineChars="0"/>
        <w:jc w:val="left"/>
        <w:textAlignment w:val="auto"/>
        <w:rPr>
          <w:b/>
          <w:bCs/>
          <w:sz w:val="32"/>
          <w:szCs w:val="32"/>
        </w:rPr>
      </w:pPr>
      <w:r>
        <w:rPr>
          <w:rFonts w:hint="eastAsia"/>
          <w:b/>
          <w:bCs/>
          <w:sz w:val="32"/>
          <w:szCs w:val="32"/>
        </w:rPr>
        <w:t>1、</w:t>
      </w:r>
      <w:r>
        <w:rPr>
          <w:b/>
          <w:bCs/>
          <w:sz w:val="32"/>
          <w:szCs w:val="32"/>
        </w:rPr>
        <w:t>医院绩效</w:t>
      </w:r>
      <w:r>
        <w:rPr>
          <w:rFonts w:hint="eastAsia"/>
          <w:b/>
          <w:bCs/>
          <w:sz w:val="32"/>
          <w:szCs w:val="32"/>
          <w:lang w:val="en-US" w:eastAsia="zh-CN"/>
        </w:rPr>
        <w:t>管理</w:t>
      </w:r>
      <w:r>
        <w:rPr>
          <w:b/>
          <w:bCs/>
          <w:sz w:val="32"/>
          <w:szCs w:val="32"/>
        </w:rPr>
        <w:t>咨询</w:t>
      </w:r>
      <w:r>
        <w:rPr>
          <w:rFonts w:hint="eastAsia"/>
          <w:b/>
          <w:bCs/>
          <w:sz w:val="32"/>
          <w:szCs w:val="32"/>
          <w:lang w:val="en-US" w:eastAsia="zh-CN"/>
        </w:rPr>
        <w:t>方案</w:t>
      </w:r>
      <w:r>
        <w:rPr>
          <w:b/>
          <w:bCs/>
          <w:sz w:val="32"/>
          <w:szCs w:val="32"/>
        </w:rPr>
        <w:t>要求</w:t>
      </w:r>
      <w:bookmarkEnd w:id="5"/>
      <w:bookmarkEnd w:id="6"/>
    </w:p>
    <w:p w14:paraId="3E51A1ED">
      <w:pPr>
        <w:pageBreakBefore w:val="0"/>
        <w:kinsoku/>
        <w:wordWrap/>
        <w:overflowPunct/>
        <w:topLinePunct w:val="0"/>
        <w:autoSpaceDE/>
        <w:autoSpaceDN/>
        <w:bidi w:val="0"/>
        <w:adjustRightInd/>
        <w:snapToGrid/>
        <w:spacing w:line="560" w:lineRule="exact"/>
        <w:ind w:firstLine="480"/>
        <w:textAlignment w:val="auto"/>
        <w:rPr>
          <w:rFonts w:hint="eastAsia"/>
          <w:color w:val="auto"/>
        </w:rPr>
      </w:pPr>
      <w:bookmarkStart w:id="7" w:name="_Toc496993541"/>
      <w:bookmarkStart w:id="8" w:name="_Toc148452618"/>
      <w:bookmarkStart w:id="9" w:name="_Toc132055817"/>
      <w:r>
        <w:rPr>
          <w:rFonts w:hint="eastAsia"/>
          <w:lang w:eastAsia="zh-CN"/>
        </w:rPr>
        <w:t>（</w:t>
      </w:r>
      <w:r>
        <w:rPr>
          <w:rFonts w:hint="eastAsia"/>
          <w:lang w:val="en-US" w:eastAsia="zh-CN"/>
        </w:rPr>
        <w:t>1</w:t>
      </w:r>
      <w:r>
        <w:rPr>
          <w:rFonts w:hint="eastAsia"/>
          <w:lang w:eastAsia="zh-CN"/>
        </w:rPr>
        <w:t>）</w:t>
      </w:r>
      <w:r>
        <w:rPr>
          <w:rFonts w:hint="eastAsia"/>
        </w:rPr>
        <w:t>新绩效方案的设计，咨询服务基于医院现有信息化系统的基础上，在DRGs医保付费下，可以升级调整绩效方案，利用DRGs测算结果结合工作量进行绩效核算。可将DRGs病历组合指数CMI值纳入工作量绩效核算。投标时需要提供分类细化方案，并满足医保物价部门新收费代码与工作量对照关系。绩效设计方案需要纳入科室成本考核，将直接成本贡献、成本贡献率等成本考核结果与科室绩效工资关联，提高成本效益。方法具有可操作性和公平性。</w:t>
      </w:r>
      <w:r>
        <w:rPr>
          <w:rFonts w:hint="eastAsia"/>
          <w:color w:val="auto"/>
        </w:rPr>
        <w:t>建立价值系数体系，建立定量定性评价相结合的科室价值系数、岗位价值系数，建立绩效预算标杆分配框架。</w:t>
      </w:r>
    </w:p>
    <w:p w14:paraId="0FFD6E77">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rPr>
        <w:t>根据医院的现实情况，将工作量积分法和DRGS质控绩效等医院管理理念和相关指标融入到方案设计中，可通过病种对应的临床路径或DRGs组对应的多个临床路径进行标准化，计算临床路径中所有项目的RBRVS点值，产生一个基准点值或者平均RBRVS点值，再根据控费的要求，使得绩效产生导向作用。</w:t>
      </w:r>
    </w:p>
    <w:p w14:paraId="21579777">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lang w:eastAsia="zh-CN"/>
        </w:rPr>
        <w:t>（</w:t>
      </w:r>
      <w:r>
        <w:rPr>
          <w:rFonts w:hint="eastAsia"/>
        </w:rPr>
        <w:t>3）绩效工作量应充分综合考虑医疗服务项目的难易程度、风险系数、手术等级、手术人数、时长等多因素，同时，应配合医院对其合理性进行解释。</w:t>
      </w:r>
    </w:p>
    <w:p w14:paraId="0D03F930">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lang w:eastAsia="zh-CN"/>
        </w:rPr>
        <w:t>（</w:t>
      </w:r>
      <w:r>
        <w:rPr>
          <w:rFonts w:hint="eastAsia"/>
        </w:rPr>
        <w:t>4）可利用时间和费用消耗指数、低风险组死亡率、总权重RW、入组病例数、CMI值等指标对医疗服务效率、均衡发展、运营效率、医疗服务能力和质量安全等方面评价并与考核挂钩。</w:t>
      </w:r>
    </w:p>
    <w:p w14:paraId="62C7511F">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color w:val="auto"/>
          <w:lang w:eastAsia="zh-CN"/>
        </w:rPr>
        <w:t>（</w:t>
      </w:r>
      <w:r>
        <w:rPr>
          <w:rFonts w:hint="eastAsia"/>
          <w:color w:val="auto"/>
        </w:rPr>
        <w:t>5）</w:t>
      </w:r>
      <w:r>
        <w:rPr>
          <w:rFonts w:hint="eastAsia"/>
        </w:rPr>
        <w:t>各核算单元可实现RBRVS、DRGs标准工作量、成本控制、点值波动检测。</w:t>
      </w:r>
    </w:p>
    <w:p w14:paraId="275574AF">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lang w:eastAsia="zh-CN"/>
        </w:rPr>
        <w:t>（</w:t>
      </w:r>
      <w:r>
        <w:rPr>
          <w:rFonts w:hint="eastAsia"/>
        </w:rPr>
        <w:t>6）方案中应当体现临床医生在研判分析检查、检验结果的劳动付出，但是不能以检查和检验项目的收入衡量医务人员的劳动付出。</w:t>
      </w:r>
    </w:p>
    <w:p w14:paraId="19A5F58F">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rPr>
      </w:pPr>
      <w:r>
        <w:rPr>
          <w:rFonts w:hint="eastAsia"/>
          <w:lang w:eastAsia="zh-CN"/>
        </w:rPr>
        <w:t>（</w:t>
      </w:r>
      <w:r>
        <w:rPr>
          <w:rFonts w:hint="eastAsia"/>
        </w:rPr>
        <w:t>7）支持院-科-组-个人三级核算分配模式，在薪酬分配方案框架基础上，结合医院各科室的学科发展和专业属性，制定各系列和特殊科室的分配方案，进行数据测算、分析和调整，实现一次分配到科室或者医疗组。科室或者医疗组依据绩效二次分配方案实现个人绩效分配，经上报医院绩效部门审核后，由医院财务部门进行发放。</w:t>
      </w:r>
    </w:p>
    <w:p w14:paraId="4F101F36">
      <w:pPr>
        <w:pageBreakBefore w:val="0"/>
        <w:kinsoku/>
        <w:wordWrap/>
        <w:overflowPunct/>
        <w:topLinePunct w:val="0"/>
        <w:autoSpaceDE/>
        <w:autoSpaceDN/>
        <w:bidi w:val="0"/>
        <w:adjustRightInd/>
        <w:snapToGrid/>
        <w:spacing w:line="560" w:lineRule="exact"/>
        <w:ind w:firstLine="480"/>
        <w:textAlignment w:val="auto"/>
        <w:rPr>
          <w:rFonts w:hint="eastAsia"/>
          <w:color w:val="auto"/>
        </w:rPr>
      </w:pPr>
      <w:r>
        <w:rPr>
          <w:rFonts w:hint="eastAsia"/>
          <w:lang w:eastAsia="zh-CN"/>
        </w:rPr>
        <w:t>（</w:t>
      </w:r>
      <w:r>
        <w:rPr>
          <w:rFonts w:hint="eastAsia"/>
        </w:rPr>
        <w:t>8）</w:t>
      </w:r>
      <w:r>
        <w:rPr>
          <w:rFonts w:hint="eastAsia"/>
          <w:color w:val="auto"/>
          <w:highlight w:val="none"/>
        </w:rPr>
        <w:t>按照医院的管理需要，根据医务人员的投入工时、技术难度、技术风险等，结合DRGS分组器、ICD-10疾病分类、ICD-9手术分类、收费项目等进行病种入组情况，以及DRG</w:t>
      </w:r>
      <w:r>
        <w:rPr>
          <w:rFonts w:hint="eastAsia"/>
          <w:color w:val="auto"/>
          <w:highlight w:val="none"/>
          <w:lang w:val="en-US" w:eastAsia="zh-CN"/>
        </w:rPr>
        <w:t>地方平台</w:t>
      </w:r>
      <w:r>
        <w:rPr>
          <w:rFonts w:hint="eastAsia"/>
          <w:color w:val="auto"/>
          <w:highlight w:val="none"/>
        </w:rPr>
        <w:t>数据的基础上，分别设置优势病种、适宜病种、一般病种等，并与绩效考核挂钩。支持</w:t>
      </w:r>
      <w:r>
        <w:rPr>
          <w:rFonts w:hint="eastAsia"/>
          <w:color w:val="auto"/>
        </w:rPr>
        <w:t>提取中医参与病种治疗的病组进行绩效激励。支持拆分和计算院内转科病种、病组的点数、工分。</w:t>
      </w:r>
    </w:p>
    <w:p w14:paraId="025DA8FA">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lang w:eastAsia="zh-CN"/>
        </w:rPr>
        <w:t>（</w:t>
      </w:r>
      <w:r>
        <w:rPr>
          <w:rFonts w:hint="eastAsia"/>
        </w:rPr>
        <w:t>9）科室直接成本管控方案设计</w:t>
      </w:r>
      <w:r>
        <w:rPr>
          <w:rFonts w:hint="eastAsia"/>
          <w:lang w:eastAsia="zh-CN"/>
        </w:rPr>
        <w:t>，</w:t>
      </w:r>
      <w:r>
        <w:rPr>
          <w:rFonts w:hint="eastAsia"/>
        </w:rPr>
        <w:t>医院进行全成本、病种成本核算与管理。对所有核算单元以直接成本或病种成本作为考核口径，绩效方案设计要把直接成本全部纳入绩效工资核算管理，待医院病种成本核算完善时可增加病种成本考核。同时应把医院现有的</w:t>
      </w:r>
      <w:r>
        <w:rPr>
          <w:rFonts w:hint="eastAsia"/>
          <w:highlight w:val="none"/>
        </w:rPr>
        <w:t>物资系统区分为可收费和不可收费两部分</w:t>
      </w:r>
      <w:r>
        <w:rPr>
          <w:rFonts w:hint="eastAsia"/>
        </w:rPr>
        <w:t>，在此基础上再区分为高值耗材与低值耗材两部分材料进行成本管控，达到精细化成本管理的目的。</w:t>
      </w:r>
    </w:p>
    <w:p w14:paraId="7DCA83E5">
      <w:pPr>
        <w:pageBreakBefore w:val="0"/>
        <w:kinsoku/>
        <w:wordWrap/>
        <w:overflowPunct/>
        <w:topLinePunct w:val="0"/>
        <w:autoSpaceDE/>
        <w:autoSpaceDN/>
        <w:bidi w:val="0"/>
        <w:adjustRightInd/>
        <w:snapToGrid/>
        <w:spacing w:line="560" w:lineRule="exact"/>
        <w:ind w:firstLine="480"/>
        <w:textAlignment w:val="auto"/>
        <w:rPr>
          <w:rFonts w:hint="eastAsia"/>
          <w:color w:val="auto"/>
        </w:rPr>
      </w:pPr>
      <w:r>
        <w:rPr>
          <w:rFonts w:hint="eastAsia"/>
          <w:color w:val="auto"/>
          <w:lang w:eastAsia="zh-CN"/>
        </w:rPr>
        <w:t>（</w:t>
      </w:r>
      <w:r>
        <w:rPr>
          <w:rFonts w:hint="eastAsia"/>
          <w:color w:val="auto"/>
        </w:rPr>
        <w:t>10）提供门诊和住院科室风险系数，其中门诊风险系数应综合考虑每人次门诊时长、</w:t>
      </w:r>
      <w:r>
        <w:rPr>
          <w:rFonts w:hint="eastAsia"/>
          <w:color w:val="auto"/>
          <w:lang w:val="en-US" w:eastAsia="zh-CN"/>
        </w:rPr>
        <w:t>医疗服务</w:t>
      </w:r>
      <w:r>
        <w:rPr>
          <w:rFonts w:hint="eastAsia"/>
          <w:color w:val="auto"/>
        </w:rPr>
        <w:t>收入占比和门住比等维度。住院风险系数应综合考虑各科室床日数、周转率、职业暴露、资源消耗、工作负荷、疑难危重等因素。</w:t>
      </w:r>
    </w:p>
    <w:p w14:paraId="1E2EA8DE">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lang w:eastAsia="zh-CN"/>
        </w:rPr>
        <w:t>（</w:t>
      </w:r>
      <w:r>
        <w:rPr>
          <w:rFonts w:hint="eastAsia"/>
        </w:rPr>
        <w:t>11）单项/专项绩效评价方案设计。能实现根据医院实际情况，对某些专项进行包括但不限于手术等绩效评价方案设计，在特定时间段内进行单项绩效评价方案设计，利用历史数据和医院预期，针对不同工作的复杂程度不同，服务人次数量等情况，进行基数测定，并进行增量评价和激励。</w:t>
      </w:r>
    </w:p>
    <w:p w14:paraId="3BEBC53A">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lang w:eastAsia="zh-CN"/>
        </w:rPr>
        <w:t>（</w:t>
      </w:r>
      <w:r>
        <w:rPr>
          <w:rFonts w:hint="eastAsia"/>
        </w:rPr>
        <w:t>12）提供二次分配指导意见方案。需指导各绩效核算单元在基于本方案指导意见的基础上，综合考虑工作量、工作质量、贡献程度、岗位、风险、职称等因素制定符合本核算单元实际情况的二次分配方案，避免平均分配，报经医院绩效小组批准后实施。</w:t>
      </w:r>
    </w:p>
    <w:p w14:paraId="1F607D1A">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color w:val="auto"/>
          <w:lang w:eastAsia="zh-CN"/>
        </w:rPr>
        <w:t>（</w:t>
      </w:r>
      <w:r>
        <w:rPr>
          <w:rFonts w:hint="eastAsia"/>
          <w:color w:val="auto"/>
        </w:rPr>
        <w:t>13）绩</w:t>
      </w:r>
      <w:r>
        <w:rPr>
          <w:rFonts w:hint="eastAsia"/>
        </w:rPr>
        <w:t>效考核体系设计：绩效考核体系符合医院战略发展规划，并能结合</w:t>
      </w:r>
      <w:r>
        <w:rPr>
          <w:rFonts w:hint="eastAsia"/>
          <w:lang w:val="en-US" w:eastAsia="zh-CN"/>
        </w:rPr>
        <w:t>三</w:t>
      </w:r>
      <w:r>
        <w:rPr>
          <w:rFonts w:hint="eastAsia"/>
        </w:rPr>
        <w:t>级公立</w:t>
      </w:r>
      <w:r>
        <w:rPr>
          <w:rFonts w:hint="eastAsia"/>
          <w:lang w:val="en-US" w:eastAsia="zh-CN"/>
        </w:rPr>
        <w:t>中</w:t>
      </w:r>
      <w:r>
        <w:rPr>
          <w:rFonts w:hint="eastAsia"/>
        </w:rPr>
        <w:t>医</w:t>
      </w:r>
      <w:r>
        <w:rPr>
          <w:rFonts w:hint="eastAsia"/>
          <w:lang w:val="en-US" w:eastAsia="zh-CN"/>
        </w:rPr>
        <w:t>医</w:t>
      </w:r>
      <w:r>
        <w:rPr>
          <w:rFonts w:hint="eastAsia"/>
        </w:rPr>
        <w:t>院绩效考核、精益运营、高质量发展等指标，规范设计考核流程。建立从医院到科室到员工的一整套目标管理分解体系，从社会效益、提供医疗服务、综合管理、可持续发展四个维度，建立医院发展目标与科室个人目标相结合的考核体系，</w:t>
      </w:r>
      <w:r>
        <w:rPr>
          <w:rFonts w:hint="eastAsia"/>
          <w:color w:val="auto"/>
        </w:rPr>
        <w:t>提供BSC、KPI、KSF、360度、医院绩效考核上报关键指标</w:t>
      </w:r>
      <w:r>
        <w:rPr>
          <w:rFonts w:hint="eastAsia"/>
        </w:rPr>
        <w:t>，针对行政、后勤不同科室及岗位职责提供个性化、可量化考核方案。</w:t>
      </w:r>
    </w:p>
    <w:p w14:paraId="30AB62E1">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color w:val="auto"/>
          <w:lang w:eastAsia="zh-CN"/>
        </w:rPr>
        <w:t>（</w:t>
      </w:r>
      <w:r>
        <w:rPr>
          <w:rFonts w:hint="eastAsia"/>
          <w:color w:val="auto"/>
        </w:rPr>
        <w:t>14）</w:t>
      </w:r>
      <w:r>
        <w:rPr>
          <w:rFonts w:hint="eastAsia"/>
        </w:rPr>
        <w:t>科主任管理绩效设计：提供业务科室主任综合目标管理绩效体系、业务指标分析、绩效工资分析。</w:t>
      </w:r>
    </w:p>
    <w:p w14:paraId="3AAD77BD">
      <w:pPr>
        <w:pageBreakBefore w:val="0"/>
        <w:kinsoku/>
        <w:wordWrap/>
        <w:overflowPunct/>
        <w:topLinePunct w:val="0"/>
        <w:autoSpaceDE/>
        <w:autoSpaceDN/>
        <w:bidi w:val="0"/>
        <w:adjustRightInd/>
        <w:snapToGrid/>
        <w:spacing w:line="560" w:lineRule="exact"/>
        <w:ind w:firstLine="480"/>
        <w:textAlignment w:val="auto"/>
        <w:rPr>
          <w:rFonts w:hint="eastAsia"/>
          <w:color w:val="auto"/>
        </w:rPr>
      </w:pPr>
      <w:r>
        <w:rPr>
          <w:rFonts w:hint="eastAsia"/>
          <w:lang w:eastAsia="zh-CN"/>
        </w:rPr>
        <w:t>（</w:t>
      </w:r>
      <w:r>
        <w:rPr>
          <w:rFonts w:hint="eastAsia"/>
        </w:rPr>
        <w:t>15）教学科研和行政后勤绩效评价方案设计根据医院实际情况，分别建立教学科研部门、行政后勤部门绩效评价体系。</w:t>
      </w:r>
      <w:r>
        <w:rPr>
          <w:rFonts w:hint="eastAsia"/>
          <w:color w:val="auto"/>
        </w:rPr>
        <w:t>对行政后勤人员，</w:t>
      </w:r>
      <w:r>
        <w:rPr>
          <w:rFonts w:hint="eastAsia"/>
          <w:color w:val="auto"/>
          <w:lang w:val="en-US" w:eastAsia="zh-CN"/>
        </w:rPr>
        <w:t>根据医院提供的各科室</w:t>
      </w:r>
      <w:r>
        <w:rPr>
          <w:rFonts w:hint="eastAsia"/>
          <w:color w:val="auto"/>
        </w:rPr>
        <w:t>岗位职责，完善岗位说明书，确定岗位</w:t>
      </w:r>
      <w:r>
        <w:rPr>
          <w:rFonts w:hint="eastAsia"/>
          <w:color w:val="auto"/>
          <w:lang w:val="en-US" w:eastAsia="zh-CN"/>
        </w:rPr>
        <w:t>人员数，提交一份</w:t>
      </w:r>
      <w:r>
        <w:rPr>
          <w:rFonts w:hint="eastAsia"/>
        </w:rPr>
        <w:t>行政后勤</w:t>
      </w:r>
      <w:r>
        <w:rPr>
          <w:rFonts w:hint="eastAsia"/>
          <w:color w:val="auto"/>
          <w:lang w:val="en-US" w:eastAsia="zh-CN"/>
        </w:rPr>
        <w:t>绩效考核和绩效工资测算方案建议。</w:t>
      </w:r>
    </w:p>
    <w:p w14:paraId="1A1E9F99">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lang w:eastAsia="zh-CN"/>
        </w:rPr>
        <w:t>（</w:t>
      </w:r>
      <w:r>
        <w:rPr>
          <w:rFonts w:hint="eastAsia"/>
        </w:rPr>
        <w:t>16）进行绩效核算数据、绩效考核数据的分析。为管理者提供更合适的数据视图，帮助医院决策层、管理者更清晰的了解医院当前的运营、管理、目标达成情况，帮助医院更好的识别风险，实现提早控制和辅助决策。</w:t>
      </w:r>
    </w:p>
    <w:p w14:paraId="709DCC1A">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lang w:eastAsia="zh-CN"/>
        </w:rPr>
        <w:t>（</w:t>
      </w:r>
      <w:r>
        <w:rPr>
          <w:rFonts w:hint="eastAsia"/>
        </w:rPr>
        <w:t>17）年终综合目标绩效方案设计，以医院年度综合目标考核结果为基础进行年度综合目标绩效考核及分配方案设计。</w:t>
      </w:r>
    </w:p>
    <w:p w14:paraId="474E9FD8">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color w:val="auto"/>
          <w:lang w:eastAsia="zh-CN"/>
        </w:rPr>
        <w:t>（</w:t>
      </w:r>
      <w:r>
        <w:rPr>
          <w:rFonts w:hint="eastAsia"/>
          <w:color w:val="auto"/>
        </w:rPr>
        <w:t>18）内</w:t>
      </w:r>
      <w:r>
        <w:rPr>
          <w:rFonts w:hint="eastAsia"/>
        </w:rPr>
        <w:t>部服务满意度评价方案设计。提供医院全方位涵盖临床、医技、医辅、行政后勤服务满意度评价。</w:t>
      </w:r>
    </w:p>
    <w:p w14:paraId="3A7EA7F0">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lang w:eastAsia="zh-CN"/>
        </w:rPr>
        <w:t>（</w:t>
      </w:r>
      <w:r>
        <w:rPr>
          <w:rFonts w:hint="eastAsia"/>
        </w:rPr>
        <w:t>19）DRGs绩效方案设计：新绩效方案的设计，在DRGs医保付费下，利用DRGs测算结果结合RBRVS工作量进行绩效核算。可将DRGs病历组合指数CMI值纳入RBRVS绩效奖金核算。通过病种对应的临床路径或DRGs组对应的多个临床路径进行标准化，计算临床路径中所有项目的RBRVS点值，产生一个基准点值或者平均RBRVS点值，再根据控费的要求，使得绩效产生导向作用。利用时间和费用消耗指数、低风险组死亡率、总权重RW、入组病例数、CMI值等指标对医疗服务效率、均衡发展、医疗服务能力和质量安全等方面评价并与考核挂钩。</w:t>
      </w:r>
    </w:p>
    <w:p w14:paraId="063B66AD">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lang w:eastAsia="zh-CN"/>
        </w:rPr>
        <w:t>（</w:t>
      </w:r>
      <w:r>
        <w:rPr>
          <w:rFonts w:hint="eastAsia"/>
        </w:rPr>
        <w:t>20）挂号收费、出入院处、药学部（含中西药房）、供应室</w:t>
      </w:r>
      <w:r>
        <w:rPr>
          <w:rFonts w:hint="eastAsia"/>
          <w:lang w:eastAsia="zh-CN"/>
        </w:rPr>
        <w:t>、</w:t>
      </w:r>
      <w:r>
        <w:rPr>
          <w:rFonts w:hint="eastAsia"/>
          <w:lang w:val="en-US" w:eastAsia="zh-CN"/>
        </w:rPr>
        <w:t>综合服务中心、救护车队、健康体检中心</w:t>
      </w:r>
      <w:r>
        <w:rPr>
          <w:rFonts w:hint="eastAsia"/>
        </w:rPr>
        <w:t>等科室绩效评价方案：对窗口和供应室等类型的科室，根据历史绩效水平和工作量，利用6-12个月的数据回归测算，测定每个工作项目（无医疗项目收费）的点数和点价格，并充分考虑与医护技科室的绩效工资水平差距，尊重历史绩效工资水平合理分配。</w:t>
      </w:r>
    </w:p>
    <w:p w14:paraId="7BAC59BD">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lang w:eastAsia="zh-CN"/>
        </w:rPr>
        <w:t>（</w:t>
      </w:r>
      <w:r>
        <w:rPr>
          <w:rFonts w:hint="eastAsia"/>
          <w:lang w:val="en-US" w:eastAsia="zh-CN"/>
        </w:rPr>
        <w:t>21</w:t>
      </w:r>
      <w:r>
        <w:rPr>
          <w:rFonts w:hint="eastAsia"/>
          <w:lang w:eastAsia="zh-CN"/>
        </w:rPr>
        <w:t>）</w:t>
      </w:r>
      <w:r>
        <w:rPr>
          <w:rFonts w:hint="eastAsia"/>
        </w:rPr>
        <w:t>三级公立中医</w:t>
      </w:r>
      <w:r>
        <w:rPr>
          <w:rFonts w:hint="eastAsia"/>
          <w:lang w:val="en-US" w:eastAsia="zh-CN"/>
        </w:rPr>
        <w:t>医</w:t>
      </w:r>
      <w:r>
        <w:rPr>
          <w:rFonts w:hint="eastAsia"/>
        </w:rPr>
        <w:t>院66条绩效考核指标方案设计</w:t>
      </w:r>
      <w:bookmarkEnd w:id="7"/>
      <w:bookmarkEnd w:id="8"/>
      <w:bookmarkEnd w:id="9"/>
      <w:r>
        <w:rPr>
          <w:rFonts w:hint="eastAsia"/>
          <w:lang w:eastAsia="zh-CN"/>
        </w:rPr>
        <w:t>，</w:t>
      </w:r>
      <w:r>
        <w:rPr>
          <w:rFonts w:hint="eastAsia"/>
        </w:rPr>
        <w:t>支持三级公立中医院66条考核指标管理包含医疗质量等4项一级指标、功能定位等14项二级指标、门诊中药处方比例等66项三级指标结合医院实际情况</w:t>
      </w:r>
      <w:r>
        <w:t>嵌入关键考核指标</w:t>
      </w:r>
      <w:r>
        <w:rPr>
          <w:rFonts w:hint="eastAsia"/>
        </w:rPr>
        <w:t>，提供指导意见。</w:t>
      </w:r>
    </w:p>
    <w:p w14:paraId="57C31BB1">
      <w:pPr>
        <w:pageBreakBefore w:val="0"/>
        <w:kinsoku/>
        <w:wordWrap/>
        <w:overflowPunct/>
        <w:topLinePunct w:val="0"/>
        <w:autoSpaceDE/>
        <w:autoSpaceDN/>
        <w:bidi w:val="0"/>
        <w:adjustRightInd/>
        <w:snapToGrid/>
        <w:spacing w:line="560" w:lineRule="exact"/>
        <w:ind w:firstLine="480"/>
        <w:textAlignment w:val="auto"/>
        <w:rPr>
          <w:rFonts w:hint="default" w:eastAsiaTheme="minorEastAsia"/>
          <w:color w:val="auto"/>
          <w:lang w:val="en-US" w:eastAsia="zh-CN"/>
        </w:rPr>
      </w:pPr>
      <w:r>
        <w:rPr>
          <w:rFonts w:hint="eastAsia"/>
          <w:color w:val="auto"/>
          <w:lang w:eastAsia="zh-CN"/>
        </w:rPr>
        <w:t>（</w:t>
      </w:r>
      <w:r>
        <w:rPr>
          <w:rFonts w:hint="eastAsia"/>
          <w:color w:val="auto"/>
          <w:lang w:val="en-US" w:eastAsia="zh-CN"/>
        </w:rPr>
        <w:t>22</w:t>
      </w:r>
      <w:r>
        <w:rPr>
          <w:rFonts w:hint="eastAsia"/>
          <w:color w:val="auto"/>
          <w:lang w:eastAsia="zh-CN"/>
        </w:rPr>
        <w:t>）</w:t>
      </w:r>
      <w:r>
        <w:rPr>
          <w:rFonts w:hint="eastAsia"/>
          <w:color w:val="auto"/>
          <w:lang w:val="en-US" w:eastAsia="zh-CN"/>
        </w:rPr>
        <w:t>投标供应商应提供各项考核指标同行业点数、点价格参考值。</w:t>
      </w:r>
    </w:p>
    <w:p w14:paraId="33574AFE">
      <w:pPr>
        <w:pageBreakBefore w:val="0"/>
        <w:kinsoku/>
        <w:wordWrap/>
        <w:overflowPunct/>
        <w:topLinePunct w:val="0"/>
        <w:autoSpaceDE/>
        <w:autoSpaceDN/>
        <w:bidi w:val="0"/>
        <w:adjustRightInd/>
        <w:snapToGrid/>
        <w:spacing w:line="560" w:lineRule="exact"/>
        <w:ind w:firstLine="480"/>
        <w:textAlignment w:val="auto"/>
        <w:rPr>
          <w:rFonts w:hint="eastAsia" w:eastAsiaTheme="minorEastAsia"/>
          <w:lang w:val="en-US" w:eastAsia="zh-CN"/>
        </w:rPr>
      </w:pPr>
      <w:bookmarkStart w:id="10" w:name="_Toc148452620"/>
      <w:r>
        <w:rPr>
          <w:rFonts w:hint="eastAsia"/>
          <w:b/>
          <w:bCs/>
          <w:sz w:val="32"/>
          <w:szCs w:val="32"/>
        </w:rPr>
        <w:t>2、医院绩效管理</w:t>
      </w:r>
      <w:r>
        <w:rPr>
          <w:rFonts w:hint="eastAsia"/>
          <w:b/>
          <w:bCs/>
          <w:sz w:val="32"/>
          <w:szCs w:val="32"/>
          <w:lang w:val="en-US" w:eastAsia="zh-CN"/>
        </w:rPr>
        <w:t>配套</w:t>
      </w:r>
      <w:r>
        <w:rPr>
          <w:rFonts w:hint="eastAsia"/>
          <w:b/>
          <w:bCs/>
          <w:sz w:val="32"/>
          <w:szCs w:val="32"/>
        </w:rPr>
        <w:t>软件系统</w:t>
      </w:r>
      <w:bookmarkEnd w:id="10"/>
      <w:r>
        <w:rPr>
          <w:rFonts w:hint="eastAsia"/>
          <w:b/>
          <w:bCs/>
          <w:sz w:val="32"/>
          <w:szCs w:val="32"/>
          <w:lang w:val="en-US" w:eastAsia="zh-CN"/>
        </w:rPr>
        <w:t>要求</w:t>
      </w:r>
    </w:p>
    <w:p w14:paraId="29124E33">
      <w:pPr>
        <w:pageBreakBefore w:val="0"/>
        <w:kinsoku/>
        <w:wordWrap/>
        <w:overflowPunct/>
        <w:topLinePunct w:val="0"/>
        <w:autoSpaceDE/>
        <w:autoSpaceDN/>
        <w:bidi w:val="0"/>
        <w:adjustRightInd/>
        <w:snapToGrid/>
        <w:spacing w:line="560" w:lineRule="exact"/>
        <w:ind w:firstLine="480"/>
        <w:textAlignment w:val="auto"/>
        <w:rPr>
          <w:rFonts w:hint="eastAsia"/>
          <w:color w:val="auto"/>
          <w:lang w:val="en-US" w:eastAsia="zh-CN"/>
        </w:rPr>
      </w:pPr>
      <w:bookmarkStart w:id="11" w:name="_Toc148452621"/>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技术规格</w:t>
      </w:r>
      <w:bookmarkEnd w:id="11"/>
      <w:r>
        <w:rPr>
          <w:rFonts w:hint="eastAsia"/>
          <w:color w:val="auto"/>
        </w:rPr>
        <w:t>医院绩效管理</w:t>
      </w:r>
      <w:r>
        <w:rPr>
          <w:rFonts w:hint="eastAsia"/>
          <w:color w:val="auto"/>
          <w:lang w:val="en-US" w:eastAsia="zh-CN"/>
        </w:rPr>
        <w:t>配套</w:t>
      </w:r>
      <w:r>
        <w:rPr>
          <w:rFonts w:hint="eastAsia"/>
          <w:color w:val="auto"/>
        </w:rPr>
        <w:t>软件系统</w:t>
      </w:r>
      <w:r>
        <w:rPr>
          <w:rFonts w:hint="eastAsia"/>
          <w:color w:val="auto"/>
          <w:lang w:val="en-US" w:eastAsia="zh-CN"/>
        </w:rPr>
        <w:t>技术要求</w:t>
      </w:r>
      <w:bookmarkStart w:id="12" w:name="系统架构要求"/>
    </w:p>
    <w:p w14:paraId="5EDBAFCE">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i w:val="0"/>
          <w:iCs w:val="0"/>
          <w:color w:val="000000" w:themeColor="text1"/>
          <w:sz w:val="24"/>
          <w:szCs w:val="24"/>
          <w:highlight w:val="yellow"/>
          <w:lang w:eastAsia="zh-CN"/>
          <w14:textFill>
            <w14:solidFill>
              <w14:schemeClr w14:val="tx1"/>
            </w14:solidFill>
          </w14:textFill>
        </w:rPr>
      </w:pPr>
      <w:r>
        <w:rPr>
          <w:rFonts w:hint="eastAsia" w:ascii="宋体" w:hAnsi="宋体" w:eastAsia="宋体" w:cs="宋体"/>
          <w:b/>
          <w:bCs w:val="0"/>
          <w:i w:val="0"/>
          <w:iCs w:val="0"/>
          <w:color w:val="000000" w:themeColor="text1"/>
          <w:sz w:val="24"/>
          <w:szCs w:val="24"/>
          <w14:textFill>
            <w14:solidFill>
              <w14:schemeClr w14:val="tx1"/>
            </w14:solidFill>
          </w14:textFill>
        </w:rPr>
        <w:t>系统架构要求</w:t>
      </w:r>
      <w:r>
        <w:rPr>
          <w:rFonts w:hint="eastAsia" w:eastAsia="宋体" w:cs="宋体"/>
          <w:b/>
          <w:bCs w:val="0"/>
          <w:i w:val="0"/>
          <w:iCs w:val="0"/>
          <w:color w:val="000000" w:themeColor="text1"/>
          <w:sz w:val="24"/>
          <w:szCs w:val="24"/>
          <w:lang w:eastAsia="zh-CN"/>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采用分层架构设计（如前后端分离），支持高并发、高可用性，具备良好的可扩展性和安全性。优先采用微服务架构</w:t>
      </w:r>
      <w:r>
        <w:rPr>
          <w:rFonts w:hint="eastAsia" w:ascii="宋体" w:hAnsi="宋体" w:eastAsia="宋体" w:cs="宋体"/>
          <w:i w:val="0"/>
          <w:iCs w:val="0"/>
          <w:color w:val="000000" w:themeColor="text1"/>
          <w:sz w:val="24"/>
          <w:szCs w:val="24"/>
          <w:lang w:eastAsia="zh-CN"/>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容器化部署（如Docker/Kubernetes）</w:t>
      </w:r>
      <w:r>
        <w:rPr>
          <w:rFonts w:hint="eastAsia" w:ascii="宋体" w:hAnsi="宋体" w:eastAsia="宋体" w:cs="宋体"/>
          <w:i w:val="0"/>
          <w:iCs w:val="0"/>
          <w:color w:val="000000" w:themeColor="text1"/>
          <w:sz w:val="24"/>
          <w:szCs w:val="24"/>
          <w:lang w:val="en-US" w:eastAsia="zh-CN"/>
          <w14:textFill>
            <w14:solidFill>
              <w14:schemeClr w14:val="tx1"/>
            </w14:solidFill>
          </w14:textFill>
        </w:rPr>
        <w:t>等</w:t>
      </w:r>
      <w:r>
        <w:rPr>
          <w:rFonts w:hint="eastAsia" w:ascii="宋体" w:hAnsi="宋体" w:eastAsia="宋体" w:cs="宋体"/>
          <w:i w:val="0"/>
          <w:iCs w:val="0"/>
          <w:color w:val="000000" w:themeColor="text1"/>
          <w:sz w:val="24"/>
          <w:szCs w:val="24"/>
          <w14:textFill>
            <w14:solidFill>
              <w14:schemeClr w14:val="tx1"/>
            </w14:solidFill>
          </w14:textFill>
        </w:rPr>
        <w:t>，支持动态伸缩和负载均衡。需提供详细的架构设计图和技术方案说明</w:t>
      </w:r>
      <w:r>
        <w:rPr>
          <w:rFonts w:hint="eastAsia"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系统需支持信创环境与非信创环境的混合部署及平滑迁移</w:t>
      </w:r>
      <w:r>
        <w:rPr>
          <w:rFonts w:hint="eastAsia" w:eastAsia="宋体" w:cs="宋体"/>
          <w:color w:val="000000" w:themeColor="text1"/>
          <w:sz w:val="24"/>
          <w:szCs w:val="24"/>
          <w:highlight w:val="none"/>
          <w:lang w:eastAsia="zh-CN"/>
          <w14:textFill>
            <w14:solidFill>
              <w14:schemeClr w14:val="tx1"/>
            </w14:solidFill>
          </w14:textFill>
        </w:rPr>
        <w:t>。</w:t>
      </w:r>
    </w:p>
    <w:bookmarkEnd w:id="12"/>
    <w:p w14:paraId="140934AF">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Autospacing="0" w:afterAutospacing="0" w:line="560" w:lineRule="exact"/>
        <w:textAlignment w:val="auto"/>
        <w:rPr>
          <w:rFonts w:hint="eastAsia" w:ascii="宋体" w:hAnsi="宋体" w:eastAsia="宋体" w:cs="宋体"/>
          <w:b w:val="0"/>
          <w:bCs w:val="0"/>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b/>
          <w:bCs w:val="0"/>
          <w:i w:val="0"/>
          <w:iCs w:val="0"/>
          <w:color w:val="000000" w:themeColor="text1"/>
          <w:sz w:val="24"/>
          <w:szCs w:val="24"/>
          <w14:textFill>
            <w14:solidFill>
              <w14:schemeClr w14:val="tx1"/>
            </w14:solidFill>
          </w14:textFill>
        </w:rPr>
        <w:t>开发语言及框架</w:t>
      </w:r>
      <w:r>
        <w:rPr>
          <w:rFonts w:hint="eastAsia" w:eastAsia="宋体" w:cs="宋体"/>
          <w:b/>
          <w:bCs w:val="0"/>
          <w:i w:val="0"/>
          <w:i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后端开发语言：Java（Spring Boot框架）、Python（Django/Flask框架）或C#（.NET Core框架）。前端开发语言：HTML5/CSS3/JavaScript，推荐使用Vue.js、React或Angular框架。移动端开发：需兼容Android和iOS系统，若为混合开发需采用Flutter或React Native。</w:t>
      </w:r>
      <w:bookmarkStart w:id="13" w:name="系统运行环境"/>
    </w:p>
    <w:p w14:paraId="492FEFAA">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Autospacing="0" w:afterAutospacing="0" w:line="560" w:lineRule="exact"/>
        <w:ind w:firstLine="482"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sz w:val="24"/>
          <w:szCs w:val="24"/>
          <w14:textFill>
            <w14:solidFill>
              <w14:schemeClr w14:val="tx1"/>
            </w14:solidFill>
          </w14:textFill>
        </w:rPr>
        <w:t>系统运行环境</w:t>
      </w:r>
      <w:r>
        <w:rPr>
          <w:rFonts w:hint="eastAsia" w:eastAsia="宋体" w:cs="宋体"/>
          <w:b/>
          <w:bCs w:val="0"/>
          <w:i w:val="0"/>
          <w:i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服务器操作系统：支持Linux（CentOS 7+或Ubuntu 18.04+）或Windows Server 2016+。中间件：支持Nginx、Tomcat 8+、Apache等主流中间件。</w:t>
      </w:r>
      <w:bookmarkEnd w:id="13"/>
      <w:bookmarkStart w:id="14" w:name="数据库支撑"/>
    </w:p>
    <w:p w14:paraId="1E085701">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Autospacing="0" w:afterAutospacing="0" w:line="560" w:lineRule="exact"/>
        <w:ind w:firstLine="482" w:firstLineChars="200"/>
        <w:textAlignment w:val="auto"/>
        <w:rPr>
          <w:rFonts w:hint="eastAsia" w:ascii="宋体" w:hAnsi="宋体" w:eastAsia="宋体" w:cs="宋体"/>
          <w:b w:val="0"/>
          <w:bCs w:val="0"/>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b/>
          <w:bCs w:val="0"/>
          <w:i w:val="0"/>
          <w:iCs w:val="0"/>
          <w:color w:val="000000" w:themeColor="text1"/>
          <w:sz w:val="24"/>
          <w:szCs w:val="24"/>
          <w14:textFill>
            <w14:solidFill>
              <w14:schemeClr w14:val="tx1"/>
            </w14:solidFill>
          </w14:textFill>
        </w:rPr>
        <w:t xml:space="preserve"> 数据库</w:t>
      </w:r>
      <w:r>
        <w:rPr>
          <w:rFonts w:hint="eastAsia" w:ascii="宋体" w:hAnsi="宋体" w:eastAsia="宋体" w:cs="宋体"/>
          <w:b/>
          <w:bCs w:val="0"/>
          <w:i w:val="0"/>
          <w:iCs w:val="0"/>
          <w:color w:val="000000" w:themeColor="text1"/>
          <w:sz w:val="24"/>
          <w:szCs w:val="24"/>
          <w:lang w:val="en-US" w:eastAsia="zh-CN"/>
          <w14:textFill>
            <w14:solidFill>
              <w14:schemeClr w14:val="tx1"/>
            </w14:solidFill>
          </w14:textFill>
        </w:rPr>
        <w:t>要求</w:t>
      </w:r>
      <w:r>
        <w:rPr>
          <w:rFonts w:hint="eastAsia" w:eastAsia="宋体" w:cs="宋体"/>
          <w:b/>
          <w:bCs w:val="0"/>
          <w:i w:val="0"/>
          <w:i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支持关系型数据库：MySQL 8.0+、PostgreSQL 12+、SQL Server 数据库2014 R2或Oracle 19c及以上版本，支持主从复制和读写分离。数据备份：提供每日自动备份及灾备恢复方案，RTO（恢复时间目标）≤2小时。</w:t>
      </w:r>
      <w:bookmarkEnd w:id="14"/>
    </w:p>
    <w:p w14:paraId="1D42C3D5">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Autospacing="0" w:afterAutospacing="0" w:line="560" w:lineRule="exact"/>
        <w:ind w:firstLine="482" w:firstLineChars="200"/>
        <w:textAlignment w:val="auto"/>
        <w:rPr>
          <w:rFonts w:hint="eastAsia" w:ascii="宋体" w:hAnsi="宋体" w:eastAsia="宋体" w:cs="宋体"/>
          <w:b w:val="0"/>
          <w:bCs w:val="0"/>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b/>
          <w:bCs w:val="0"/>
          <w:i w:val="0"/>
          <w:iCs w:val="0"/>
          <w:color w:val="000000" w:themeColor="text1"/>
          <w:sz w:val="24"/>
          <w:szCs w:val="24"/>
          <w14:textFill>
            <w14:solidFill>
              <w14:schemeClr w14:val="tx1"/>
            </w14:solidFill>
          </w14:textFill>
        </w:rPr>
        <w:t>浏览器兼容性</w:t>
      </w:r>
      <w:r>
        <w:rPr>
          <w:rFonts w:hint="eastAsia" w:eastAsia="宋体" w:cs="宋体"/>
          <w:b/>
          <w:bCs w:val="0"/>
          <w:i w:val="0"/>
          <w:iCs w:val="0"/>
          <w:color w:val="000000" w:themeColor="text1"/>
          <w:sz w:val="24"/>
          <w:szCs w:val="24"/>
          <w:lang w:val="en-US" w:eastAsia="zh-CN"/>
          <w14:textFill>
            <w14:solidFill>
              <w14:schemeClr w14:val="tx1"/>
            </w14:solidFill>
          </w14:textFill>
        </w:rPr>
        <w:t>要求：</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支持Chrome 80+、Firefox 75+、Edge 85+、Safari 13+等主流浏览器。移动端需兼容iOS Safari和Android Chrome最新3个版本。</w:t>
      </w:r>
    </w:p>
    <w:p w14:paraId="41E2505C">
      <w:pPr>
        <w:pStyle w:val="6"/>
        <w:keepNext w:val="0"/>
        <w:keepLines w:val="0"/>
        <w:pageBreakBefore w:val="0"/>
        <w:widowControl/>
        <w:numPr>
          <w:ilvl w:val="3"/>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firstLine="482" w:firstLineChars="200"/>
        <w:textAlignment w:val="auto"/>
        <w:rPr>
          <w:color w:val="auto"/>
        </w:rPr>
      </w:pPr>
      <w:r>
        <w:rPr>
          <w:rFonts w:hint="eastAsia" w:ascii="宋体" w:hAnsi="宋体" w:eastAsia="宋体" w:cs="宋体"/>
          <w:b/>
          <w:bCs w:val="0"/>
          <w:i w:val="0"/>
          <w:iCs/>
          <w:color w:val="000000" w:themeColor="text1"/>
          <w:sz w:val="24"/>
          <w:szCs w:val="24"/>
          <w14:textFill>
            <w14:solidFill>
              <w14:schemeClr w14:val="tx1"/>
            </w14:solidFill>
          </w14:textFill>
        </w:rPr>
        <w:t>安全与合规</w:t>
      </w:r>
      <w:r>
        <w:rPr>
          <w:rFonts w:hint="eastAsia" w:ascii="宋体" w:hAnsi="宋体" w:eastAsia="宋体" w:cs="宋体"/>
          <w:b/>
          <w:bCs w:val="0"/>
          <w:i w:val="0"/>
          <w:iCs/>
          <w:color w:val="000000" w:themeColor="text1"/>
          <w:sz w:val="24"/>
          <w:szCs w:val="24"/>
          <w:lang w:val="en-US" w:eastAsia="zh-CN"/>
          <w14:textFill>
            <w14:solidFill>
              <w14:schemeClr w14:val="tx1"/>
            </w14:solidFill>
          </w14:textFill>
        </w:rPr>
        <w:t>要求</w:t>
      </w:r>
      <w:r>
        <w:rPr>
          <w:rFonts w:hint="eastAsia" w:eastAsia="宋体" w:cs="宋体"/>
          <w:b/>
          <w:bCs w:val="0"/>
          <w:i w:val="0"/>
          <w:iCs/>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通过国家等保2.0三级认证，支持国产密码模块（如江南天安、三未信安加密卡等）。</w:t>
      </w:r>
    </w:p>
    <w:p w14:paraId="28BD4217">
      <w:pPr>
        <w:pageBreakBefore w:val="0"/>
        <w:kinsoku/>
        <w:wordWrap/>
        <w:overflowPunct/>
        <w:topLinePunct w:val="0"/>
        <w:autoSpaceDE/>
        <w:autoSpaceDN/>
        <w:bidi w:val="0"/>
        <w:adjustRightInd/>
        <w:snapToGrid/>
        <w:spacing w:line="560" w:lineRule="exact"/>
        <w:ind w:firstLine="480"/>
        <w:textAlignment w:val="auto"/>
      </w:pPr>
      <w:bookmarkStart w:id="15" w:name="_Toc148452622"/>
      <w:r>
        <w:rPr>
          <w:rFonts w:hint="eastAsia"/>
          <w:lang w:eastAsia="zh-CN"/>
        </w:rPr>
        <w:t>（</w:t>
      </w:r>
      <w:r>
        <w:rPr>
          <w:rFonts w:hint="eastAsia"/>
          <w:lang w:val="en-US" w:eastAsia="zh-CN"/>
        </w:rPr>
        <w:t>2</w:t>
      </w:r>
      <w:r>
        <w:rPr>
          <w:rFonts w:hint="eastAsia"/>
          <w:lang w:eastAsia="zh-CN"/>
        </w:rPr>
        <w:t>）</w:t>
      </w:r>
      <w:r>
        <w:rPr>
          <w:rFonts w:hint="eastAsia"/>
        </w:rPr>
        <w:t>功能项目</w:t>
      </w:r>
      <w:bookmarkEnd w:id="15"/>
    </w:p>
    <w:tbl>
      <w:tblPr>
        <w:tblStyle w:val="2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790"/>
        <w:gridCol w:w="5030"/>
      </w:tblGrid>
      <w:tr w14:paraId="10B6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shd w:val="clear" w:color="auto" w:fill="auto"/>
            <w:noWrap/>
            <w:vAlign w:val="center"/>
          </w:tcPr>
          <w:p w14:paraId="2AAD884C">
            <w:pPr>
              <w:pageBreakBefore w:val="0"/>
              <w:kinsoku/>
              <w:wordWrap/>
              <w:overflowPunct/>
              <w:topLinePunct w:val="0"/>
              <w:autoSpaceDE/>
              <w:autoSpaceDN/>
              <w:bidi w:val="0"/>
              <w:adjustRightInd/>
              <w:snapToGrid/>
              <w:spacing w:line="560" w:lineRule="exact"/>
              <w:ind w:left="0" w:leftChars="0" w:firstLine="0" w:firstLineChars="0"/>
              <w:textAlignment w:val="auto"/>
            </w:pPr>
            <w:r>
              <w:rPr>
                <w:rFonts w:hint="eastAsia"/>
              </w:rPr>
              <w:t>一级功能</w:t>
            </w:r>
          </w:p>
        </w:tc>
        <w:tc>
          <w:tcPr>
            <w:tcW w:w="1790" w:type="dxa"/>
            <w:shd w:val="clear" w:color="auto" w:fill="auto"/>
            <w:noWrap/>
            <w:vAlign w:val="center"/>
          </w:tcPr>
          <w:p w14:paraId="3F055AAB">
            <w:pPr>
              <w:pageBreakBefore w:val="0"/>
              <w:kinsoku/>
              <w:wordWrap/>
              <w:overflowPunct/>
              <w:topLinePunct w:val="0"/>
              <w:autoSpaceDE/>
              <w:autoSpaceDN/>
              <w:bidi w:val="0"/>
              <w:adjustRightInd/>
              <w:snapToGrid/>
              <w:spacing w:line="560" w:lineRule="exact"/>
              <w:ind w:firstLine="480"/>
              <w:textAlignment w:val="auto"/>
            </w:pPr>
            <w:r>
              <w:rPr>
                <w:rFonts w:hint="eastAsia"/>
              </w:rPr>
              <w:t>二级功能</w:t>
            </w:r>
          </w:p>
        </w:tc>
        <w:tc>
          <w:tcPr>
            <w:tcW w:w="5030" w:type="dxa"/>
            <w:shd w:val="clear" w:color="auto" w:fill="auto"/>
            <w:vAlign w:val="center"/>
          </w:tcPr>
          <w:p w14:paraId="38BDBD37">
            <w:pPr>
              <w:pageBreakBefore w:val="0"/>
              <w:kinsoku/>
              <w:wordWrap/>
              <w:overflowPunct/>
              <w:topLinePunct w:val="0"/>
              <w:autoSpaceDE/>
              <w:autoSpaceDN/>
              <w:bidi w:val="0"/>
              <w:adjustRightInd/>
              <w:snapToGrid/>
              <w:spacing w:line="560" w:lineRule="exact"/>
              <w:ind w:firstLine="480"/>
              <w:textAlignment w:val="auto"/>
            </w:pPr>
            <w:r>
              <w:rPr>
                <w:rFonts w:hint="eastAsia"/>
              </w:rPr>
              <w:t>功能描述</w:t>
            </w:r>
          </w:p>
        </w:tc>
      </w:tr>
      <w:tr w14:paraId="1804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restart"/>
            <w:shd w:val="clear" w:color="auto" w:fill="auto"/>
            <w:vAlign w:val="center"/>
          </w:tcPr>
          <w:p w14:paraId="56798A1F">
            <w:pPr>
              <w:pageBreakBefore w:val="0"/>
              <w:kinsoku/>
              <w:wordWrap/>
              <w:overflowPunct/>
              <w:topLinePunct w:val="0"/>
              <w:autoSpaceDE/>
              <w:autoSpaceDN/>
              <w:bidi w:val="0"/>
              <w:adjustRightInd/>
              <w:snapToGrid/>
              <w:spacing w:line="560" w:lineRule="exact"/>
              <w:ind w:left="0" w:leftChars="0" w:firstLine="0" w:firstLineChars="0"/>
              <w:textAlignment w:val="auto"/>
            </w:pPr>
            <w:r>
              <w:rPr>
                <w:rFonts w:hint="eastAsia"/>
              </w:rPr>
              <w:t>系统操作</w:t>
            </w:r>
          </w:p>
        </w:tc>
        <w:tc>
          <w:tcPr>
            <w:tcW w:w="1790" w:type="dxa"/>
            <w:shd w:val="clear" w:color="auto" w:fill="auto"/>
            <w:noWrap/>
            <w:vAlign w:val="center"/>
          </w:tcPr>
          <w:p w14:paraId="22766CB3">
            <w:pPr>
              <w:pageBreakBefore w:val="0"/>
              <w:kinsoku/>
              <w:wordWrap/>
              <w:overflowPunct/>
              <w:topLinePunct w:val="0"/>
              <w:autoSpaceDE/>
              <w:autoSpaceDN/>
              <w:bidi w:val="0"/>
              <w:adjustRightInd/>
              <w:snapToGrid/>
              <w:spacing w:line="560" w:lineRule="exact"/>
              <w:ind w:left="0" w:leftChars="0" w:firstLine="0" w:firstLineChars="0"/>
              <w:textAlignment w:val="auto"/>
            </w:pPr>
            <w:r>
              <w:rPr>
                <w:rFonts w:hint="eastAsia"/>
              </w:rPr>
              <w:t>登录</w:t>
            </w:r>
          </w:p>
        </w:tc>
        <w:tc>
          <w:tcPr>
            <w:tcW w:w="5030" w:type="dxa"/>
            <w:shd w:val="clear" w:color="auto" w:fill="auto"/>
            <w:vAlign w:val="center"/>
          </w:tcPr>
          <w:p w14:paraId="50E50E2D">
            <w:pPr>
              <w:pageBreakBefore w:val="0"/>
              <w:kinsoku/>
              <w:wordWrap/>
              <w:overflowPunct/>
              <w:topLinePunct w:val="0"/>
              <w:autoSpaceDE/>
              <w:autoSpaceDN/>
              <w:bidi w:val="0"/>
              <w:adjustRightInd/>
              <w:snapToGrid/>
              <w:spacing w:line="560" w:lineRule="exact"/>
              <w:ind w:left="0" w:leftChars="0" w:firstLine="0" w:firstLineChars="0"/>
              <w:textAlignment w:val="auto"/>
            </w:pPr>
            <w:r>
              <w:rPr>
                <w:rFonts w:hint="eastAsia"/>
              </w:rPr>
              <w:t>用户输入账户登录</w:t>
            </w:r>
          </w:p>
        </w:tc>
      </w:tr>
      <w:tr w14:paraId="6ABD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2DD5C5B6">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6290A5FB">
            <w:pPr>
              <w:pStyle w:val="40"/>
              <w:pageBreakBefore w:val="0"/>
              <w:kinsoku/>
              <w:wordWrap/>
              <w:overflowPunct/>
              <w:topLinePunct w:val="0"/>
              <w:autoSpaceDE/>
              <w:autoSpaceDN/>
              <w:bidi w:val="0"/>
              <w:adjustRightInd/>
              <w:snapToGrid/>
              <w:spacing w:line="560" w:lineRule="exact"/>
              <w:textAlignment w:val="auto"/>
            </w:pPr>
            <w:r>
              <w:rPr>
                <w:rFonts w:hint="eastAsia"/>
              </w:rPr>
              <w:t>退出</w:t>
            </w:r>
          </w:p>
        </w:tc>
        <w:tc>
          <w:tcPr>
            <w:tcW w:w="5030" w:type="dxa"/>
            <w:shd w:val="clear" w:color="auto" w:fill="auto"/>
            <w:vAlign w:val="center"/>
          </w:tcPr>
          <w:p w14:paraId="2297D01F">
            <w:pPr>
              <w:pStyle w:val="40"/>
              <w:pageBreakBefore w:val="0"/>
              <w:kinsoku/>
              <w:wordWrap/>
              <w:overflowPunct/>
              <w:topLinePunct w:val="0"/>
              <w:autoSpaceDE/>
              <w:autoSpaceDN/>
              <w:bidi w:val="0"/>
              <w:adjustRightInd/>
              <w:snapToGrid/>
              <w:spacing w:line="560" w:lineRule="exact"/>
              <w:textAlignment w:val="auto"/>
            </w:pPr>
            <w:r>
              <w:rPr>
                <w:rFonts w:hint="eastAsia"/>
              </w:rPr>
              <w:t>用户注销当前状态</w:t>
            </w:r>
          </w:p>
        </w:tc>
      </w:tr>
      <w:tr w14:paraId="3E0B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653F5946">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0127DA32">
            <w:pPr>
              <w:pStyle w:val="40"/>
              <w:pageBreakBefore w:val="0"/>
              <w:kinsoku/>
              <w:wordWrap/>
              <w:overflowPunct/>
              <w:topLinePunct w:val="0"/>
              <w:autoSpaceDE/>
              <w:autoSpaceDN/>
              <w:bidi w:val="0"/>
              <w:adjustRightInd/>
              <w:snapToGrid/>
              <w:spacing w:line="560" w:lineRule="exact"/>
              <w:textAlignment w:val="auto"/>
            </w:pPr>
            <w:r>
              <w:rPr>
                <w:rFonts w:hint="eastAsia"/>
              </w:rPr>
              <w:t>修改密码</w:t>
            </w:r>
          </w:p>
        </w:tc>
        <w:tc>
          <w:tcPr>
            <w:tcW w:w="5030" w:type="dxa"/>
            <w:shd w:val="clear" w:color="auto" w:fill="auto"/>
            <w:vAlign w:val="center"/>
          </w:tcPr>
          <w:p w14:paraId="772F512B">
            <w:pPr>
              <w:pStyle w:val="40"/>
              <w:pageBreakBefore w:val="0"/>
              <w:kinsoku/>
              <w:wordWrap/>
              <w:overflowPunct/>
              <w:topLinePunct w:val="0"/>
              <w:autoSpaceDE/>
              <w:autoSpaceDN/>
              <w:bidi w:val="0"/>
              <w:adjustRightInd/>
              <w:snapToGrid/>
              <w:spacing w:line="560" w:lineRule="exact"/>
              <w:textAlignment w:val="auto"/>
            </w:pPr>
            <w:r>
              <w:rPr>
                <w:rFonts w:hint="eastAsia"/>
              </w:rPr>
              <w:t>用户修改自己的密码</w:t>
            </w:r>
          </w:p>
        </w:tc>
      </w:tr>
      <w:tr w14:paraId="5988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00" w:type="dxa"/>
            <w:vMerge w:val="continue"/>
            <w:vAlign w:val="center"/>
          </w:tcPr>
          <w:p w14:paraId="6B5454DC">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1975CF02">
            <w:pPr>
              <w:pStyle w:val="40"/>
              <w:pageBreakBefore w:val="0"/>
              <w:kinsoku/>
              <w:wordWrap/>
              <w:overflowPunct/>
              <w:topLinePunct w:val="0"/>
              <w:autoSpaceDE/>
              <w:autoSpaceDN/>
              <w:bidi w:val="0"/>
              <w:adjustRightInd/>
              <w:snapToGrid/>
              <w:spacing w:line="560" w:lineRule="exact"/>
              <w:textAlignment w:val="auto"/>
            </w:pPr>
            <w:r>
              <w:rPr>
                <w:rFonts w:hint="eastAsia"/>
              </w:rPr>
              <w:t>系统通知</w:t>
            </w:r>
          </w:p>
        </w:tc>
        <w:tc>
          <w:tcPr>
            <w:tcW w:w="5030" w:type="dxa"/>
            <w:shd w:val="clear" w:color="auto" w:fill="auto"/>
            <w:vAlign w:val="center"/>
          </w:tcPr>
          <w:p w14:paraId="1B0AFC2D">
            <w:pPr>
              <w:pStyle w:val="40"/>
              <w:pageBreakBefore w:val="0"/>
              <w:kinsoku/>
              <w:wordWrap/>
              <w:overflowPunct/>
              <w:topLinePunct w:val="0"/>
              <w:autoSpaceDE/>
              <w:autoSpaceDN/>
              <w:bidi w:val="0"/>
              <w:adjustRightInd/>
              <w:snapToGrid/>
              <w:spacing w:line="560" w:lineRule="exact"/>
              <w:textAlignment w:val="auto"/>
            </w:pPr>
            <w:r>
              <w:rPr>
                <w:rFonts w:hint="eastAsia"/>
              </w:rPr>
              <w:t>其他用户或者系统发送消息给用户，用户可通过弹窗查看</w:t>
            </w:r>
          </w:p>
        </w:tc>
      </w:tr>
      <w:tr w14:paraId="40AB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1400" w:type="dxa"/>
            <w:vMerge w:val="continue"/>
            <w:vAlign w:val="center"/>
          </w:tcPr>
          <w:p w14:paraId="55BDF802">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3EBD17B4">
            <w:pPr>
              <w:pStyle w:val="40"/>
              <w:pageBreakBefore w:val="0"/>
              <w:kinsoku/>
              <w:wordWrap/>
              <w:overflowPunct/>
              <w:topLinePunct w:val="0"/>
              <w:autoSpaceDE/>
              <w:autoSpaceDN/>
              <w:bidi w:val="0"/>
              <w:adjustRightInd/>
              <w:snapToGrid/>
              <w:spacing w:line="560" w:lineRule="exact"/>
              <w:textAlignment w:val="auto"/>
              <w:rPr>
                <w:rFonts w:hint="eastAsia"/>
              </w:rPr>
            </w:pPr>
            <w:r>
              <w:rPr>
                <w:rFonts w:hint="eastAsia"/>
              </w:rPr>
              <w:t>流程引擎</w:t>
            </w:r>
          </w:p>
        </w:tc>
        <w:tc>
          <w:tcPr>
            <w:tcW w:w="5030" w:type="dxa"/>
            <w:shd w:val="clear" w:color="auto" w:fill="auto"/>
            <w:vAlign w:val="center"/>
          </w:tcPr>
          <w:p w14:paraId="6913D4C7">
            <w:pPr>
              <w:pStyle w:val="40"/>
              <w:pageBreakBefore w:val="0"/>
              <w:kinsoku/>
              <w:wordWrap/>
              <w:overflowPunct/>
              <w:topLinePunct w:val="0"/>
              <w:autoSpaceDE/>
              <w:autoSpaceDN/>
              <w:bidi w:val="0"/>
              <w:adjustRightInd/>
              <w:snapToGrid/>
              <w:spacing w:line="560" w:lineRule="exact"/>
              <w:textAlignment w:val="auto"/>
              <w:rPr>
                <w:rFonts w:hint="eastAsia"/>
              </w:rPr>
            </w:pPr>
            <w:r>
              <w:rPr>
                <w:rFonts w:hint="eastAsia"/>
              </w:rPr>
              <w:t>流程控制，确保用户在绩效核算之前完成所有必要步骤</w:t>
            </w:r>
          </w:p>
        </w:tc>
      </w:tr>
      <w:tr w14:paraId="0B85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7B3449B5">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6C07F377">
            <w:pPr>
              <w:pStyle w:val="40"/>
              <w:pageBreakBefore w:val="0"/>
              <w:kinsoku/>
              <w:wordWrap/>
              <w:overflowPunct/>
              <w:topLinePunct w:val="0"/>
              <w:autoSpaceDE/>
              <w:autoSpaceDN/>
              <w:bidi w:val="0"/>
              <w:adjustRightInd/>
              <w:snapToGrid/>
              <w:spacing w:line="560" w:lineRule="exact"/>
              <w:textAlignment w:val="auto"/>
            </w:pPr>
            <w:r>
              <w:rPr>
                <w:rFonts w:hint="eastAsia"/>
              </w:rPr>
              <w:t>一次指引</w:t>
            </w:r>
          </w:p>
        </w:tc>
        <w:tc>
          <w:tcPr>
            <w:tcW w:w="5030" w:type="dxa"/>
            <w:shd w:val="clear" w:color="auto" w:fill="auto"/>
            <w:vAlign w:val="center"/>
          </w:tcPr>
          <w:p w14:paraId="79FE2CC4">
            <w:pPr>
              <w:pStyle w:val="40"/>
              <w:pageBreakBefore w:val="0"/>
              <w:kinsoku/>
              <w:wordWrap/>
              <w:overflowPunct/>
              <w:topLinePunct w:val="0"/>
              <w:autoSpaceDE/>
              <w:autoSpaceDN/>
              <w:bidi w:val="0"/>
              <w:adjustRightInd/>
              <w:snapToGrid/>
              <w:spacing w:line="560" w:lineRule="exact"/>
              <w:textAlignment w:val="auto"/>
            </w:pPr>
            <w:r>
              <w:rPr>
                <w:rFonts w:hint="eastAsia"/>
              </w:rPr>
              <w:t>图形方式指引用户完成绩效核算和操作</w:t>
            </w:r>
          </w:p>
        </w:tc>
      </w:tr>
      <w:tr w14:paraId="3B54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restart"/>
            <w:shd w:val="clear" w:color="auto" w:fill="auto"/>
            <w:vAlign w:val="center"/>
          </w:tcPr>
          <w:p w14:paraId="06F02948">
            <w:pPr>
              <w:pStyle w:val="40"/>
              <w:pageBreakBefore w:val="0"/>
              <w:kinsoku/>
              <w:wordWrap/>
              <w:overflowPunct/>
              <w:topLinePunct w:val="0"/>
              <w:autoSpaceDE/>
              <w:autoSpaceDN/>
              <w:bidi w:val="0"/>
              <w:adjustRightInd/>
              <w:snapToGrid/>
              <w:spacing w:line="560" w:lineRule="exact"/>
              <w:textAlignment w:val="auto"/>
            </w:pPr>
            <w:r>
              <w:rPr>
                <w:rFonts w:hint="eastAsia"/>
              </w:rPr>
              <w:t>一次评价分配</w:t>
            </w:r>
          </w:p>
        </w:tc>
        <w:tc>
          <w:tcPr>
            <w:tcW w:w="1790" w:type="dxa"/>
            <w:shd w:val="clear" w:color="auto" w:fill="auto"/>
            <w:noWrap/>
            <w:vAlign w:val="center"/>
          </w:tcPr>
          <w:p w14:paraId="1DF61722">
            <w:pPr>
              <w:pStyle w:val="40"/>
              <w:pageBreakBefore w:val="0"/>
              <w:kinsoku/>
              <w:wordWrap/>
              <w:overflowPunct/>
              <w:topLinePunct w:val="0"/>
              <w:autoSpaceDE/>
              <w:autoSpaceDN/>
              <w:bidi w:val="0"/>
              <w:adjustRightInd/>
              <w:snapToGrid/>
              <w:spacing w:line="560" w:lineRule="exact"/>
              <w:textAlignment w:val="auto"/>
            </w:pPr>
            <w:r>
              <w:rPr>
                <w:rFonts w:hint="eastAsia"/>
              </w:rPr>
              <w:t>一次评价计算</w:t>
            </w:r>
          </w:p>
        </w:tc>
        <w:tc>
          <w:tcPr>
            <w:tcW w:w="5030" w:type="dxa"/>
            <w:shd w:val="clear" w:color="auto" w:fill="auto"/>
            <w:vAlign w:val="center"/>
          </w:tcPr>
          <w:p w14:paraId="347EED6C">
            <w:pPr>
              <w:pStyle w:val="40"/>
              <w:pageBreakBefore w:val="0"/>
              <w:kinsoku/>
              <w:wordWrap/>
              <w:overflowPunct/>
              <w:topLinePunct w:val="0"/>
              <w:autoSpaceDE/>
              <w:autoSpaceDN/>
              <w:bidi w:val="0"/>
              <w:adjustRightInd/>
              <w:snapToGrid/>
              <w:spacing w:line="560" w:lineRule="exact"/>
              <w:textAlignment w:val="auto"/>
            </w:pPr>
            <w:r>
              <w:rPr>
                <w:rFonts w:hint="eastAsia"/>
              </w:rPr>
              <w:t>按照点数、规则、公式计算一次分配</w:t>
            </w:r>
          </w:p>
        </w:tc>
      </w:tr>
      <w:tr w14:paraId="22A9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2CA50B81">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36876F75">
            <w:pPr>
              <w:pStyle w:val="40"/>
              <w:pageBreakBefore w:val="0"/>
              <w:kinsoku/>
              <w:wordWrap/>
              <w:overflowPunct/>
              <w:topLinePunct w:val="0"/>
              <w:autoSpaceDE/>
              <w:autoSpaceDN/>
              <w:bidi w:val="0"/>
              <w:adjustRightInd/>
              <w:snapToGrid/>
              <w:spacing w:line="560" w:lineRule="exact"/>
              <w:textAlignment w:val="auto"/>
            </w:pPr>
            <w:r>
              <w:rPr>
                <w:rFonts w:hint="eastAsia"/>
              </w:rPr>
              <w:t>RVU点数维护</w:t>
            </w:r>
          </w:p>
        </w:tc>
        <w:tc>
          <w:tcPr>
            <w:tcW w:w="5030" w:type="dxa"/>
            <w:shd w:val="clear" w:color="auto" w:fill="auto"/>
            <w:vAlign w:val="center"/>
          </w:tcPr>
          <w:p w14:paraId="577A7842">
            <w:pPr>
              <w:pStyle w:val="40"/>
              <w:pageBreakBefore w:val="0"/>
              <w:kinsoku/>
              <w:wordWrap/>
              <w:overflowPunct/>
              <w:topLinePunct w:val="0"/>
              <w:autoSpaceDE/>
              <w:autoSpaceDN/>
              <w:bidi w:val="0"/>
              <w:adjustRightInd/>
              <w:snapToGrid/>
              <w:spacing w:line="560" w:lineRule="exact"/>
              <w:textAlignment w:val="auto"/>
            </w:pPr>
            <w:r>
              <w:rPr>
                <w:rFonts w:hint="eastAsia"/>
              </w:rPr>
              <w:t>维护RBRVS项目的基准点数和科室特殊点数</w:t>
            </w:r>
          </w:p>
        </w:tc>
      </w:tr>
      <w:tr w14:paraId="434F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5DE82CC7">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2115B161">
            <w:pPr>
              <w:pStyle w:val="40"/>
              <w:pageBreakBefore w:val="0"/>
              <w:kinsoku/>
              <w:wordWrap/>
              <w:overflowPunct/>
              <w:topLinePunct w:val="0"/>
              <w:autoSpaceDE/>
              <w:autoSpaceDN/>
              <w:bidi w:val="0"/>
              <w:adjustRightInd/>
              <w:snapToGrid/>
              <w:spacing w:line="560" w:lineRule="exact"/>
              <w:textAlignment w:val="auto"/>
            </w:pPr>
            <w:r>
              <w:rPr>
                <w:rFonts w:hint="eastAsia"/>
              </w:rPr>
              <w:t>核算模型管理</w:t>
            </w:r>
          </w:p>
        </w:tc>
        <w:tc>
          <w:tcPr>
            <w:tcW w:w="5030" w:type="dxa"/>
            <w:shd w:val="clear" w:color="auto" w:fill="auto"/>
            <w:vAlign w:val="center"/>
          </w:tcPr>
          <w:p w14:paraId="5F5FACA1">
            <w:pPr>
              <w:pStyle w:val="40"/>
              <w:pageBreakBefore w:val="0"/>
              <w:kinsoku/>
              <w:wordWrap/>
              <w:overflowPunct/>
              <w:topLinePunct w:val="0"/>
              <w:autoSpaceDE/>
              <w:autoSpaceDN/>
              <w:bidi w:val="0"/>
              <w:adjustRightInd/>
              <w:snapToGrid/>
              <w:spacing w:line="560" w:lineRule="exact"/>
              <w:textAlignment w:val="auto"/>
            </w:pPr>
            <w:r>
              <w:rPr>
                <w:rFonts w:hint="eastAsia"/>
              </w:rPr>
              <w:t>设置每个核算单元的公式、规则</w:t>
            </w:r>
          </w:p>
        </w:tc>
      </w:tr>
      <w:tr w14:paraId="6961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709C3A7C">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2C6258FA">
            <w:pPr>
              <w:pStyle w:val="40"/>
              <w:pageBreakBefore w:val="0"/>
              <w:kinsoku/>
              <w:wordWrap/>
              <w:overflowPunct/>
              <w:topLinePunct w:val="0"/>
              <w:autoSpaceDE/>
              <w:autoSpaceDN/>
              <w:bidi w:val="0"/>
              <w:adjustRightInd/>
              <w:snapToGrid/>
              <w:spacing w:line="560" w:lineRule="exact"/>
              <w:textAlignment w:val="auto"/>
            </w:pPr>
            <w:r>
              <w:rPr>
                <w:rFonts w:hint="eastAsia"/>
              </w:rPr>
              <w:t>手工数据管理</w:t>
            </w:r>
          </w:p>
        </w:tc>
        <w:tc>
          <w:tcPr>
            <w:tcW w:w="5030" w:type="dxa"/>
            <w:shd w:val="clear" w:color="auto" w:fill="auto"/>
            <w:vAlign w:val="center"/>
          </w:tcPr>
          <w:p w14:paraId="1261A287">
            <w:pPr>
              <w:pStyle w:val="40"/>
              <w:pageBreakBefore w:val="0"/>
              <w:kinsoku/>
              <w:wordWrap/>
              <w:overflowPunct/>
              <w:topLinePunct w:val="0"/>
              <w:autoSpaceDE/>
              <w:autoSpaceDN/>
              <w:bidi w:val="0"/>
              <w:adjustRightInd/>
              <w:snapToGrid/>
              <w:spacing w:line="560" w:lineRule="exact"/>
              <w:textAlignment w:val="auto"/>
            </w:pPr>
            <w:r>
              <w:rPr>
                <w:rFonts w:hint="eastAsia"/>
              </w:rPr>
              <w:t>绩效计算所需要的部分特殊数据，支持进行手工填写</w:t>
            </w:r>
          </w:p>
        </w:tc>
      </w:tr>
      <w:tr w14:paraId="1FF5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74899E46">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42EDC690">
            <w:pPr>
              <w:pStyle w:val="40"/>
              <w:pageBreakBefore w:val="0"/>
              <w:kinsoku/>
              <w:wordWrap/>
              <w:overflowPunct/>
              <w:topLinePunct w:val="0"/>
              <w:autoSpaceDE/>
              <w:autoSpaceDN/>
              <w:bidi w:val="0"/>
              <w:adjustRightInd/>
              <w:snapToGrid/>
              <w:spacing w:line="560" w:lineRule="exact"/>
              <w:textAlignment w:val="auto"/>
            </w:pPr>
            <w:r>
              <w:rPr>
                <w:rFonts w:hint="eastAsia"/>
              </w:rPr>
              <w:t>手工数据审核</w:t>
            </w:r>
          </w:p>
        </w:tc>
        <w:tc>
          <w:tcPr>
            <w:tcW w:w="5030" w:type="dxa"/>
            <w:shd w:val="clear" w:color="auto" w:fill="auto"/>
            <w:vAlign w:val="center"/>
          </w:tcPr>
          <w:p w14:paraId="748A991F">
            <w:pPr>
              <w:pStyle w:val="40"/>
              <w:pageBreakBefore w:val="0"/>
              <w:kinsoku/>
              <w:wordWrap/>
              <w:overflowPunct/>
              <w:topLinePunct w:val="0"/>
              <w:autoSpaceDE/>
              <w:autoSpaceDN/>
              <w:bidi w:val="0"/>
              <w:adjustRightInd/>
              <w:snapToGrid/>
              <w:spacing w:line="560" w:lineRule="exact"/>
              <w:textAlignment w:val="auto"/>
            </w:pPr>
            <w:r>
              <w:rPr>
                <w:rFonts w:hint="eastAsia"/>
              </w:rPr>
              <w:t>对录入的手工数据进行审核</w:t>
            </w:r>
          </w:p>
        </w:tc>
      </w:tr>
      <w:tr w14:paraId="2351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restart"/>
            <w:shd w:val="clear" w:color="auto" w:fill="auto"/>
            <w:noWrap/>
            <w:vAlign w:val="center"/>
          </w:tcPr>
          <w:p w14:paraId="0C088CBD">
            <w:pPr>
              <w:pStyle w:val="40"/>
              <w:pageBreakBefore w:val="0"/>
              <w:kinsoku/>
              <w:wordWrap/>
              <w:overflowPunct/>
              <w:topLinePunct w:val="0"/>
              <w:autoSpaceDE/>
              <w:autoSpaceDN/>
              <w:bidi w:val="0"/>
              <w:adjustRightInd/>
              <w:snapToGrid/>
              <w:spacing w:line="560" w:lineRule="exact"/>
              <w:textAlignment w:val="auto"/>
            </w:pPr>
            <w:r>
              <w:rPr>
                <w:rFonts w:hint="eastAsia"/>
              </w:rPr>
              <w:t>二次评价分配</w:t>
            </w:r>
          </w:p>
        </w:tc>
        <w:tc>
          <w:tcPr>
            <w:tcW w:w="1790" w:type="dxa"/>
            <w:shd w:val="clear" w:color="auto" w:fill="auto"/>
            <w:noWrap/>
            <w:vAlign w:val="center"/>
          </w:tcPr>
          <w:p w14:paraId="5FA13360">
            <w:pPr>
              <w:pStyle w:val="40"/>
              <w:pageBreakBefore w:val="0"/>
              <w:kinsoku/>
              <w:wordWrap/>
              <w:overflowPunct/>
              <w:topLinePunct w:val="0"/>
              <w:autoSpaceDE/>
              <w:autoSpaceDN/>
              <w:bidi w:val="0"/>
              <w:adjustRightInd/>
              <w:snapToGrid/>
              <w:spacing w:line="560" w:lineRule="exact"/>
              <w:textAlignment w:val="auto"/>
            </w:pPr>
            <w:r>
              <w:rPr>
                <w:rFonts w:hint="eastAsia"/>
              </w:rPr>
              <w:t>科室分配项目</w:t>
            </w:r>
          </w:p>
        </w:tc>
        <w:tc>
          <w:tcPr>
            <w:tcW w:w="5030" w:type="dxa"/>
            <w:shd w:val="clear" w:color="auto" w:fill="auto"/>
            <w:vAlign w:val="center"/>
          </w:tcPr>
          <w:p w14:paraId="240418A8">
            <w:pPr>
              <w:pStyle w:val="40"/>
              <w:pageBreakBefore w:val="0"/>
              <w:kinsoku/>
              <w:wordWrap/>
              <w:overflowPunct/>
              <w:topLinePunct w:val="0"/>
              <w:autoSpaceDE/>
              <w:autoSpaceDN/>
              <w:bidi w:val="0"/>
              <w:adjustRightInd/>
              <w:snapToGrid/>
              <w:spacing w:line="560" w:lineRule="exact"/>
              <w:textAlignment w:val="auto"/>
            </w:pPr>
            <w:r>
              <w:rPr>
                <w:rFonts w:hint="eastAsia"/>
              </w:rPr>
              <w:t>科室可自行设置绩效二次分配的名目</w:t>
            </w:r>
          </w:p>
        </w:tc>
      </w:tr>
      <w:tr w14:paraId="0DE5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257833F6">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0DEC1580">
            <w:pPr>
              <w:pStyle w:val="40"/>
              <w:pageBreakBefore w:val="0"/>
              <w:kinsoku/>
              <w:wordWrap/>
              <w:overflowPunct/>
              <w:topLinePunct w:val="0"/>
              <w:autoSpaceDE/>
              <w:autoSpaceDN/>
              <w:bidi w:val="0"/>
              <w:adjustRightInd/>
              <w:snapToGrid/>
              <w:spacing w:line="560" w:lineRule="exact"/>
              <w:textAlignment w:val="auto"/>
            </w:pPr>
            <w:r>
              <w:rPr>
                <w:rFonts w:hint="eastAsia"/>
              </w:rPr>
              <w:t>科室绩效分配</w:t>
            </w:r>
          </w:p>
        </w:tc>
        <w:tc>
          <w:tcPr>
            <w:tcW w:w="5030" w:type="dxa"/>
            <w:shd w:val="clear" w:color="auto" w:fill="auto"/>
            <w:vAlign w:val="center"/>
          </w:tcPr>
          <w:p w14:paraId="3B541231">
            <w:pPr>
              <w:pStyle w:val="40"/>
              <w:pageBreakBefore w:val="0"/>
              <w:kinsoku/>
              <w:wordWrap/>
              <w:overflowPunct/>
              <w:topLinePunct w:val="0"/>
              <w:autoSpaceDE/>
              <w:autoSpaceDN/>
              <w:bidi w:val="0"/>
              <w:adjustRightInd/>
              <w:snapToGrid/>
              <w:spacing w:line="560" w:lineRule="exact"/>
              <w:textAlignment w:val="auto"/>
            </w:pPr>
            <w:r>
              <w:rPr>
                <w:rFonts w:hint="eastAsia"/>
              </w:rPr>
              <w:t>科室按照设置的二次分配项目自行发放绩效</w:t>
            </w:r>
          </w:p>
        </w:tc>
      </w:tr>
      <w:tr w14:paraId="34A0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1EEA9BC2">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4A378F2B">
            <w:pPr>
              <w:pStyle w:val="40"/>
              <w:pageBreakBefore w:val="0"/>
              <w:kinsoku/>
              <w:wordWrap/>
              <w:overflowPunct/>
              <w:topLinePunct w:val="0"/>
              <w:autoSpaceDE/>
              <w:autoSpaceDN/>
              <w:bidi w:val="0"/>
              <w:adjustRightInd/>
              <w:snapToGrid/>
              <w:spacing w:line="560" w:lineRule="exact"/>
              <w:textAlignment w:val="auto"/>
            </w:pPr>
            <w:r>
              <w:rPr>
                <w:rFonts w:hint="eastAsia"/>
              </w:rPr>
              <w:t>科室分配审核</w:t>
            </w:r>
          </w:p>
        </w:tc>
        <w:tc>
          <w:tcPr>
            <w:tcW w:w="5030" w:type="dxa"/>
            <w:shd w:val="clear" w:color="auto" w:fill="auto"/>
            <w:vAlign w:val="center"/>
          </w:tcPr>
          <w:p w14:paraId="253FC36E">
            <w:pPr>
              <w:pStyle w:val="40"/>
              <w:pageBreakBefore w:val="0"/>
              <w:kinsoku/>
              <w:wordWrap/>
              <w:overflowPunct/>
              <w:topLinePunct w:val="0"/>
              <w:autoSpaceDE/>
              <w:autoSpaceDN/>
              <w:bidi w:val="0"/>
              <w:adjustRightInd/>
              <w:snapToGrid/>
              <w:spacing w:line="560" w:lineRule="exact"/>
              <w:textAlignment w:val="auto"/>
            </w:pPr>
            <w:r>
              <w:rPr>
                <w:rFonts w:hint="eastAsia"/>
              </w:rPr>
              <w:t>科主任对科室二次分配项目进行审核</w:t>
            </w:r>
          </w:p>
        </w:tc>
      </w:tr>
      <w:tr w14:paraId="3067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1789B611">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4CFCF83A">
            <w:pPr>
              <w:pStyle w:val="40"/>
              <w:pageBreakBefore w:val="0"/>
              <w:kinsoku/>
              <w:wordWrap/>
              <w:overflowPunct/>
              <w:topLinePunct w:val="0"/>
              <w:autoSpaceDE/>
              <w:autoSpaceDN/>
              <w:bidi w:val="0"/>
              <w:adjustRightInd/>
              <w:snapToGrid/>
              <w:spacing w:line="560" w:lineRule="exact"/>
              <w:textAlignment w:val="auto"/>
            </w:pPr>
            <w:r>
              <w:rPr>
                <w:rFonts w:hint="eastAsia"/>
              </w:rPr>
              <w:t>医院分配项目</w:t>
            </w:r>
          </w:p>
        </w:tc>
        <w:tc>
          <w:tcPr>
            <w:tcW w:w="5030" w:type="dxa"/>
            <w:shd w:val="clear" w:color="auto" w:fill="auto"/>
            <w:vAlign w:val="center"/>
          </w:tcPr>
          <w:p w14:paraId="18ABCBDE">
            <w:pPr>
              <w:pStyle w:val="40"/>
              <w:pageBreakBefore w:val="0"/>
              <w:kinsoku/>
              <w:wordWrap/>
              <w:overflowPunct/>
              <w:topLinePunct w:val="0"/>
              <w:autoSpaceDE/>
              <w:autoSpaceDN/>
              <w:bidi w:val="0"/>
              <w:adjustRightInd/>
              <w:snapToGrid/>
              <w:spacing w:line="560" w:lineRule="exact"/>
              <w:textAlignment w:val="auto"/>
            </w:pPr>
            <w:r>
              <w:rPr>
                <w:rFonts w:hint="eastAsia"/>
              </w:rPr>
              <w:t>医院层面直接发放到个人的绩效项目可在此设置</w:t>
            </w:r>
          </w:p>
        </w:tc>
      </w:tr>
      <w:tr w14:paraId="0381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00" w:type="dxa"/>
            <w:vMerge w:val="continue"/>
            <w:vAlign w:val="center"/>
          </w:tcPr>
          <w:p w14:paraId="06BAEB22">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663FD86F">
            <w:pPr>
              <w:pStyle w:val="40"/>
              <w:pageBreakBefore w:val="0"/>
              <w:kinsoku/>
              <w:wordWrap/>
              <w:overflowPunct/>
              <w:topLinePunct w:val="0"/>
              <w:autoSpaceDE/>
              <w:autoSpaceDN/>
              <w:bidi w:val="0"/>
              <w:adjustRightInd/>
              <w:snapToGrid/>
              <w:spacing w:line="560" w:lineRule="exact"/>
              <w:textAlignment w:val="auto"/>
            </w:pPr>
            <w:r>
              <w:rPr>
                <w:rFonts w:hint="eastAsia"/>
              </w:rPr>
              <w:t>医院计发分配</w:t>
            </w:r>
          </w:p>
        </w:tc>
        <w:tc>
          <w:tcPr>
            <w:tcW w:w="5030" w:type="dxa"/>
            <w:shd w:val="clear" w:color="auto" w:fill="auto"/>
            <w:vAlign w:val="center"/>
          </w:tcPr>
          <w:p w14:paraId="6FCECAB4">
            <w:pPr>
              <w:pStyle w:val="40"/>
              <w:pageBreakBefore w:val="0"/>
              <w:kinsoku/>
              <w:wordWrap/>
              <w:overflowPunct/>
              <w:topLinePunct w:val="0"/>
              <w:autoSpaceDE/>
              <w:autoSpaceDN/>
              <w:bidi w:val="0"/>
              <w:adjustRightInd/>
              <w:snapToGrid/>
              <w:spacing w:line="560" w:lineRule="exact"/>
              <w:textAlignment w:val="auto"/>
            </w:pPr>
            <w:r>
              <w:rPr>
                <w:rFonts w:hint="eastAsia"/>
              </w:rPr>
              <w:t>按照医院分配项目，由医院层面直接录入发放金额，并且计税</w:t>
            </w:r>
          </w:p>
        </w:tc>
      </w:tr>
      <w:tr w14:paraId="5AF6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02906F6D">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45B353F9">
            <w:pPr>
              <w:pStyle w:val="40"/>
              <w:pageBreakBefore w:val="0"/>
              <w:kinsoku/>
              <w:wordWrap/>
              <w:overflowPunct/>
              <w:topLinePunct w:val="0"/>
              <w:autoSpaceDE/>
              <w:autoSpaceDN/>
              <w:bidi w:val="0"/>
              <w:adjustRightInd/>
              <w:snapToGrid/>
              <w:spacing w:line="560" w:lineRule="exact"/>
              <w:textAlignment w:val="auto"/>
            </w:pPr>
            <w:r>
              <w:rPr>
                <w:rFonts w:hint="eastAsia"/>
              </w:rPr>
              <w:t>医院计发审核</w:t>
            </w:r>
          </w:p>
        </w:tc>
        <w:tc>
          <w:tcPr>
            <w:tcW w:w="5030" w:type="dxa"/>
            <w:shd w:val="clear" w:color="auto" w:fill="auto"/>
            <w:vAlign w:val="center"/>
          </w:tcPr>
          <w:p w14:paraId="3BA05F56">
            <w:pPr>
              <w:pStyle w:val="40"/>
              <w:pageBreakBefore w:val="0"/>
              <w:kinsoku/>
              <w:wordWrap/>
              <w:overflowPunct/>
              <w:topLinePunct w:val="0"/>
              <w:autoSpaceDE/>
              <w:autoSpaceDN/>
              <w:bidi w:val="0"/>
              <w:adjustRightInd/>
              <w:snapToGrid/>
              <w:spacing w:line="560" w:lineRule="exact"/>
              <w:textAlignment w:val="auto"/>
            </w:pPr>
            <w:r>
              <w:rPr>
                <w:rFonts w:hint="eastAsia"/>
              </w:rPr>
              <w:t>对医院发放项目及金额进行审核</w:t>
            </w:r>
          </w:p>
        </w:tc>
      </w:tr>
      <w:tr w14:paraId="219E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restart"/>
            <w:shd w:val="clear" w:color="auto" w:fill="auto"/>
            <w:noWrap/>
            <w:vAlign w:val="center"/>
          </w:tcPr>
          <w:p w14:paraId="4C94CABB">
            <w:pPr>
              <w:pStyle w:val="40"/>
              <w:pageBreakBefore w:val="0"/>
              <w:kinsoku/>
              <w:wordWrap/>
              <w:overflowPunct/>
              <w:topLinePunct w:val="0"/>
              <w:autoSpaceDE/>
              <w:autoSpaceDN/>
              <w:bidi w:val="0"/>
              <w:adjustRightInd/>
              <w:snapToGrid/>
              <w:spacing w:line="560" w:lineRule="exact"/>
              <w:textAlignment w:val="auto"/>
            </w:pPr>
            <w:r>
              <w:rPr>
                <w:rFonts w:hint="eastAsia"/>
              </w:rPr>
              <w:t>专项绩效评价</w:t>
            </w:r>
          </w:p>
        </w:tc>
        <w:tc>
          <w:tcPr>
            <w:tcW w:w="1790" w:type="dxa"/>
            <w:shd w:val="clear" w:color="auto" w:fill="auto"/>
            <w:noWrap/>
            <w:vAlign w:val="center"/>
          </w:tcPr>
          <w:p w14:paraId="0FE4C1A1">
            <w:pPr>
              <w:pStyle w:val="40"/>
              <w:pageBreakBefore w:val="0"/>
              <w:kinsoku/>
              <w:wordWrap/>
              <w:overflowPunct/>
              <w:topLinePunct w:val="0"/>
              <w:autoSpaceDE/>
              <w:autoSpaceDN/>
              <w:bidi w:val="0"/>
              <w:adjustRightInd/>
              <w:snapToGrid/>
              <w:spacing w:line="560" w:lineRule="exact"/>
              <w:textAlignment w:val="auto"/>
            </w:pPr>
            <w:r>
              <w:rPr>
                <w:rFonts w:hint="eastAsia"/>
              </w:rPr>
              <w:t>专项绩效查询</w:t>
            </w:r>
          </w:p>
        </w:tc>
        <w:tc>
          <w:tcPr>
            <w:tcW w:w="5030" w:type="dxa"/>
            <w:shd w:val="clear" w:color="auto" w:fill="auto"/>
            <w:vAlign w:val="center"/>
          </w:tcPr>
          <w:p w14:paraId="1CA6305E">
            <w:pPr>
              <w:pStyle w:val="40"/>
              <w:pageBreakBefore w:val="0"/>
              <w:kinsoku/>
              <w:wordWrap/>
              <w:overflowPunct/>
              <w:topLinePunct w:val="0"/>
              <w:autoSpaceDE/>
              <w:autoSpaceDN/>
              <w:bidi w:val="0"/>
              <w:adjustRightInd/>
              <w:snapToGrid/>
              <w:spacing w:line="560" w:lineRule="exact"/>
              <w:textAlignment w:val="auto"/>
            </w:pPr>
            <w:r>
              <w:rPr>
                <w:rFonts w:hint="eastAsia"/>
              </w:rPr>
              <w:t>查询各项专项绩效的结果，并进行归档</w:t>
            </w:r>
          </w:p>
        </w:tc>
      </w:tr>
      <w:tr w14:paraId="7F4B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shd w:val="clear" w:color="auto" w:fill="auto"/>
            <w:noWrap/>
            <w:vAlign w:val="center"/>
          </w:tcPr>
          <w:p w14:paraId="7E648FB3">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1B140B82">
            <w:pPr>
              <w:pStyle w:val="40"/>
              <w:pageBreakBefore w:val="0"/>
              <w:kinsoku/>
              <w:wordWrap/>
              <w:overflowPunct/>
              <w:topLinePunct w:val="0"/>
              <w:autoSpaceDE/>
              <w:autoSpaceDN/>
              <w:bidi w:val="0"/>
              <w:adjustRightInd/>
              <w:snapToGrid/>
              <w:spacing w:line="560" w:lineRule="exact"/>
              <w:textAlignment w:val="auto"/>
            </w:pPr>
            <w:r>
              <w:rPr>
                <w:rFonts w:hint="eastAsia"/>
              </w:rPr>
              <w:t>专项绩效管理</w:t>
            </w:r>
          </w:p>
        </w:tc>
        <w:tc>
          <w:tcPr>
            <w:tcW w:w="5030" w:type="dxa"/>
            <w:shd w:val="clear" w:color="auto" w:fill="auto"/>
            <w:vAlign w:val="center"/>
          </w:tcPr>
          <w:p w14:paraId="0A1D0E3A">
            <w:pPr>
              <w:pStyle w:val="40"/>
              <w:pageBreakBefore w:val="0"/>
              <w:kinsoku/>
              <w:wordWrap/>
              <w:overflowPunct/>
              <w:topLinePunct w:val="0"/>
              <w:autoSpaceDE/>
              <w:autoSpaceDN/>
              <w:bidi w:val="0"/>
              <w:adjustRightInd/>
              <w:snapToGrid/>
              <w:spacing w:line="560" w:lineRule="exact"/>
              <w:textAlignment w:val="auto"/>
            </w:pPr>
            <w:r>
              <w:rPr>
                <w:rFonts w:hint="eastAsia"/>
              </w:rPr>
              <w:t>管理各项专项绩效，包括新增、数据配置</w:t>
            </w:r>
          </w:p>
        </w:tc>
      </w:tr>
      <w:tr w14:paraId="4027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shd w:val="clear" w:color="auto" w:fill="auto"/>
            <w:noWrap/>
            <w:vAlign w:val="center"/>
          </w:tcPr>
          <w:p w14:paraId="13A03CDA">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093E5B33">
            <w:pPr>
              <w:pStyle w:val="40"/>
              <w:pageBreakBefore w:val="0"/>
              <w:kinsoku/>
              <w:wordWrap/>
              <w:overflowPunct/>
              <w:topLinePunct w:val="0"/>
              <w:autoSpaceDE/>
              <w:autoSpaceDN/>
              <w:bidi w:val="0"/>
              <w:adjustRightInd/>
              <w:snapToGrid/>
              <w:spacing w:line="560" w:lineRule="exact"/>
              <w:textAlignment w:val="auto"/>
            </w:pPr>
            <w:r>
              <w:rPr>
                <w:rFonts w:hint="eastAsia"/>
              </w:rPr>
              <w:t>参数维护</w:t>
            </w:r>
          </w:p>
        </w:tc>
        <w:tc>
          <w:tcPr>
            <w:tcW w:w="5030" w:type="dxa"/>
            <w:shd w:val="clear" w:color="auto" w:fill="auto"/>
            <w:vAlign w:val="center"/>
          </w:tcPr>
          <w:p w14:paraId="74D468BA">
            <w:pPr>
              <w:pStyle w:val="40"/>
              <w:pageBreakBefore w:val="0"/>
              <w:kinsoku/>
              <w:wordWrap/>
              <w:overflowPunct/>
              <w:topLinePunct w:val="0"/>
              <w:autoSpaceDE/>
              <w:autoSpaceDN/>
              <w:bidi w:val="0"/>
              <w:adjustRightInd/>
              <w:snapToGrid/>
              <w:spacing w:line="560" w:lineRule="exact"/>
              <w:textAlignment w:val="auto"/>
            </w:pPr>
            <w:r>
              <w:rPr>
                <w:rFonts w:hint="eastAsia"/>
              </w:rPr>
              <w:t>维护核算专项绩效的各项参数</w:t>
            </w:r>
          </w:p>
        </w:tc>
      </w:tr>
      <w:tr w14:paraId="058C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restart"/>
            <w:shd w:val="clear" w:color="auto" w:fill="auto"/>
            <w:noWrap/>
            <w:vAlign w:val="center"/>
          </w:tcPr>
          <w:p w14:paraId="031508DB">
            <w:pPr>
              <w:pStyle w:val="40"/>
              <w:pageBreakBefore w:val="0"/>
              <w:kinsoku/>
              <w:wordWrap/>
              <w:overflowPunct/>
              <w:topLinePunct w:val="0"/>
              <w:autoSpaceDE/>
              <w:autoSpaceDN/>
              <w:bidi w:val="0"/>
              <w:adjustRightInd/>
              <w:snapToGrid/>
              <w:spacing w:line="560" w:lineRule="exact"/>
              <w:textAlignment w:val="auto"/>
            </w:pPr>
            <w:r>
              <w:rPr>
                <w:rFonts w:hint="eastAsia"/>
              </w:rPr>
              <w:t>成本数据</w:t>
            </w:r>
          </w:p>
        </w:tc>
        <w:tc>
          <w:tcPr>
            <w:tcW w:w="1790" w:type="dxa"/>
            <w:shd w:val="clear" w:color="auto" w:fill="auto"/>
            <w:noWrap/>
            <w:vAlign w:val="center"/>
          </w:tcPr>
          <w:p w14:paraId="2C983BC8">
            <w:pPr>
              <w:pStyle w:val="40"/>
              <w:pageBreakBefore w:val="0"/>
              <w:kinsoku/>
              <w:wordWrap/>
              <w:overflowPunct/>
              <w:topLinePunct w:val="0"/>
              <w:autoSpaceDE/>
              <w:autoSpaceDN/>
              <w:bidi w:val="0"/>
              <w:adjustRightInd/>
              <w:snapToGrid/>
              <w:spacing w:line="560" w:lineRule="exact"/>
              <w:textAlignment w:val="auto"/>
            </w:pPr>
            <w:r>
              <w:t>成本科目维护</w:t>
            </w:r>
          </w:p>
        </w:tc>
        <w:tc>
          <w:tcPr>
            <w:tcW w:w="5030" w:type="dxa"/>
            <w:shd w:val="clear" w:color="auto" w:fill="auto"/>
            <w:vAlign w:val="center"/>
          </w:tcPr>
          <w:p w14:paraId="324C6FD0">
            <w:pPr>
              <w:pStyle w:val="40"/>
              <w:pageBreakBefore w:val="0"/>
              <w:kinsoku/>
              <w:wordWrap/>
              <w:overflowPunct/>
              <w:topLinePunct w:val="0"/>
              <w:autoSpaceDE/>
              <w:autoSpaceDN/>
              <w:bidi w:val="0"/>
              <w:adjustRightInd/>
              <w:snapToGrid/>
              <w:spacing w:line="560" w:lineRule="exact"/>
              <w:textAlignment w:val="auto"/>
            </w:pPr>
            <w:r>
              <w:rPr>
                <w:rFonts w:hint="eastAsia"/>
              </w:rPr>
              <w:t>设置成本科目字典</w:t>
            </w:r>
          </w:p>
        </w:tc>
      </w:tr>
      <w:tr w14:paraId="3D83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1C3ACD5B">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1A2BC705">
            <w:pPr>
              <w:pStyle w:val="40"/>
              <w:pageBreakBefore w:val="0"/>
              <w:kinsoku/>
              <w:wordWrap/>
              <w:overflowPunct/>
              <w:topLinePunct w:val="0"/>
              <w:autoSpaceDE/>
              <w:autoSpaceDN/>
              <w:bidi w:val="0"/>
              <w:adjustRightInd/>
              <w:snapToGrid/>
              <w:spacing w:line="560" w:lineRule="exact"/>
              <w:textAlignment w:val="auto"/>
            </w:pPr>
            <w:r>
              <w:rPr>
                <w:rFonts w:hint="eastAsia"/>
              </w:rPr>
              <w:t>成本数据管理</w:t>
            </w:r>
          </w:p>
        </w:tc>
        <w:tc>
          <w:tcPr>
            <w:tcW w:w="5030" w:type="dxa"/>
            <w:shd w:val="clear" w:color="auto" w:fill="auto"/>
            <w:vAlign w:val="center"/>
          </w:tcPr>
          <w:p w14:paraId="747EA9EB">
            <w:pPr>
              <w:pStyle w:val="40"/>
              <w:pageBreakBefore w:val="0"/>
              <w:kinsoku/>
              <w:wordWrap/>
              <w:overflowPunct/>
              <w:topLinePunct w:val="0"/>
              <w:autoSpaceDE/>
              <w:autoSpaceDN/>
              <w:bidi w:val="0"/>
              <w:adjustRightInd/>
              <w:snapToGrid/>
              <w:spacing w:line="560" w:lineRule="exact"/>
              <w:textAlignment w:val="auto"/>
            </w:pPr>
            <w:r>
              <w:rPr>
                <w:rFonts w:hint="eastAsia"/>
              </w:rPr>
              <w:t>成本数据录入、导入、导出</w:t>
            </w:r>
          </w:p>
        </w:tc>
      </w:tr>
      <w:tr w14:paraId="50A5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15B5BEC4">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597830E6">
            <w:pPr>
              <w:pStyle w:val="40"/>
              <w:pageBreakBefore w:val="0"/>
              <w:kinsoku/>
              <w:wordWrap/>
              <w:overflowPunct/>
              <w:topLinePunct w:val="0"/>
              <w:autoSpaceDE/>
              <w:autoSpaceDN/>
              <w:bidi w:val="0"/>
              <w:adjustRightInd/>
              <w:snapToGrid/>
              <w:spacing w:line="560" w:lineRule="exact"/>
              <w:textAlignment w:val="auto"/>
            </w:pPr>
            <w:r>
              <w:rPr>
                <w:rFonts w:hint="eastAsia"/>
              </w:rPr>
              <w:t>成本数据审核</w:t>
            </w:r>
          </w:p>
        </w:tc>
        <w:tc>
          <w:tcPr>
            <w:tcW w:w="5030" w:type="dxa"/>
            <w:shd w:val="clear" w:color="auto" w:fill="auto"/>
            <w:vAlign w:val="center"/>
          </w:tcPr>
          <w:p w14:paraId="130CF93B">
            <w:pPr>
              <w:pStyle w:val="40"/>
              <w:pageBreakBefore w:val="0"/>
              <w:kinsoku/>
              <w:wordWrap/>
              <w:overflowPunct/>
              <w:topLinePunct w:val="0"/>
              <w:autoSpaceDE/>
              <w:autoSpaceDN/>
              <w:bidi w:val="0"/>
              <w:adjustRightInd/>
              <w:snapToGrid/>
              <w:spacing w:line="560" w:lineRule="exact"/>
              <w:textAlignment w:val="auto"/>
            </w:pPr>
            <w:r>
              <w:rPr>
                <w:rFonts w:hint="eastAsia"/>
              </w:rPr>
              <w:t>对成本数据审核或驳回</w:t>
            </w:r>
          </w:p>
        </w:tc>
      </w:tr>
      <w:tr w14:paraId="4037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restart"/>
            <w:shd w:val="clear" w:color="auto" w:fill="auto"/>
            <w:noWrap/>
            <w:vAlign w:val="center"/>
          </w:tcPr>
          <w:p w14:paraId="30C8C175">
            <w:pPr>
              <w:pStyle w:val="40"/>
              <w:pageBreakBefore w:val="0"/>
              <w:kinsoku/>
              <w:wordWrap/>
              <w:overflowPunct/>
              <w:topLinePunct w:val="0"/>
              <w:autoSpaceDE/>
              <w:autoSpaceDN/>
              <w:bidi w:val="0"/>
              <w:adjustRightInd/>
              <w:snapToGrid/>
              <w:spacing w:line="560" w:lineRule="exact"/>
              <w:textAlignment w:val="auto"/>
            </w:pPr>
            <w:r>
              <w:rPr>
                <w:rFonts w:hint="eastAsia"/>
              </w:rPr>
              <w:t>指标管理</w:t>
            </w:r>
          </w:p>
        </w:tc>
        <w:tc>
          <w:tcPr>
            <w:tcW w:w="1790" w:type="dxa"/>
            <w:shd w:val="clear" w:color="auto" w:fill="auto"/>
            <w:noWrap/>
            <w:vAlign w:val="center"/>
          </w:tcPr>
          <w:p w14:paraId="2D3AE5F5">
            <w:pPr>
              <w:pStyle w:val="40"/>
              <w:pageBreakBefore w:val="0"/>
              <w:kinsoku/>
              <w:wordWrap/>
              <w:overflowPunct/>
              <w:topLinePunct w:val="0"/>
              <w:autoSpaceDE/>
              <w:autoSpaceDN/>
              <w:bidi w:val="0"/>
              <w:adjustRightInd/>
              <w:snapToGrid/>
              <w:spacing w:line="560" w:lineRule="exact"/>
              <w:textAlignment w:val="auto"/>
            </w:pPr>
            <w:r>
              <w:rPr>
                <w:rFonts w:hint="eastAsia"/>
              </w:rPr>
              <w:t>指标管理</w:t>
            </w:r>
          </w:p>
        </w:tc>
        <w:tc>
          <w:tcPr>
            <w:tcW w:w="5030" w:type="dxa"/>
            <w:shd w:val="clear" w:color="auto" w:fill="auto"/>
            <w:vAlign w:val="center"/>
          </w:tcPr>
          <w:p w14:paraId="7978ADF5">
            <w:pPr>
              <w:pStyle w:val="40"/>
              <w:pageBreakBefore w:val="0"/>
              <w:kinsoku/>
              <w:wordWrap/>
              <w:overflowPunct/>
              <w:topLinePunct w:val="0"/>
              <w:autoSpaceDE/>
              <w:autoSpaceDN/>
              <w:bidi w:val="0"/>
              <w:adjustRightInd/>
              <w:snapToGrid/>
              <w:spacing w:line="560" w:lineRule="exact"/>
              <w:textAlignment w:val="auto"/>
            </w:pPr>
            <w:r>
              <w:rPr>
                <w:rFonts w:hint="eastAsia"/>
              </w:rPr>
              <w:t>KPI指标模板的维护、指标分配到科室</w:t>
            </w:r>
          </w:p>
        </w:tc>
      </w:tr>
      <w:tr w14:paraId="3196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77FF064B">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64C0DB3F">
            <w:pPr>
              <w:pStyle w:val="40"/>
              <w:pageBreakBefore w:val="0"/>
              <w:kinsoku/>
              <w:wordWrap/>
              <w:overflowPunct/>
              <w:topLinePunct w:val="0"/>
              <w:autoSpaceDE/>
              <w:autoSpaceDN/>
              <w:bidi w:val="0"/>
              <w:adjustRightInd/>
              <w:snapToGrid/>
              <w:spacing w:line="560" w:lineRule="exact"/>
              <w:textAlignment w:val="auto"/>
            </w:pPr>
            <w:r>
              <w:rPr>
                <w:rFonts w:hint="eastAsia"/>
              </w:rPr>
              <w:t>指标录入</w:t>
            </w:r>
          </w:p>
        </w:tc>
        <w:tc>
          <w:tcPr>
            <w:tcW w:w="5030" w:type="dxa"/>
            <w:shd w:val="clear" w:color="auto" w:fill="auto"/>
            <w:vAlign w:val="center"/>
          </w:tcPr>
          <w:p w14:paraId="691A3C28">
            <w:pPr>
              <w:pStyle w:val="40"/>
              <w:pageBreakBefore w:val="0"/>
              <w:kinsoku/>
              <w:wordWrap/>
              <w:overflowPunct/>
              <w:topLinePunct w:val="0"/>
              <w:autoSpaceDE/>
              <w:autoSpaceDN/>
              <w:bidi w:val="0"/>
              <w:adjustRightInd/>
              <w:snapToGrid/>
              <w:spacing w:line="560" w:lineRule="exact"/>
              <w:textAlignment w:val="auto"/>
            </w:pPr>
            <w:r>
              <w:rPr>
                <w:rFonts w:hint="eastAsia"/>
              </w:rPr>
              <w:t>打分科室为各个核算单元进行打分</w:t>
            </w:r>
          </w:p>
        </w:tc>
      </w:tr>
      <w:tr w14:paraId="6476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769F248C">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67383F8C">
            <w:pPr>
              <w:pStyle w:val="40"/>
              <w:pageBreakBefore w:val="0"/>
              <w:kinsoku/>
              <w:wordWrap/>
              <w:overflowPunct/>
              <w:topLinePunct w:val="0"/>
              <w:autoSpaceDE/>
              <w:autoSpaceDN/>
              <w:bidi w:val="0"/>
              <w:adjustRightInd/>
              <w:snapToGrid/>
              <w:spacing w:line="560" w:lineRule="exact"/>
              <w:textAlignment w:val="auto"/>
            </w:pPr>
            <w:r>
              <w:rPr>
                <w:rFonts w:hint="eastAsia"/>
              </w:rPr>
              <w:t>得分计算</w:t>
            </w:r>
          </w:p>
        </w:tc>
        <w:tc>
          <w:tcPr>
            <w:tcW w:w="5030" w:type="dxa"/>
            <w:shd w:val="clear" w:color="auto" w:fill="auto"/>
            <w:vAlign w:val="center"/>
          </w:tcPr>
          <w:p w14:paraId="1889720C">
            <w:pPr>
              <w:pStyle w:val="40"/>
              <w:pageBreakBefore w:val="0"/>
              <w:kinsoku/>
              <w:wordWrap/>
              <w:overflowPunct/>
              <w:topLinePunct w:val="0"/>
              <w:autoSpaceDE/>
              <w:autoSpaceDN/>
              <w:bidi w:val="0"/>
              <w:adjustRightInd/>
              <w:snapToGrid/>
              <w:spacing w:line="560" w:lineRule="exact"/>
              <w:textAlignment w:val="auto"/>
            </w:pPr>
            <w:r>
              <w:rPr>
                <w:rFonts w:hint="eastAsia"/>
              </w:rPr>
              <w:t>对打分结果进行审核，并且计算出总分</w:t>
            </w:r>
          </w:p>
        </w:tc>
      </w:tr>
      <w:tr w14:paraId="69C9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7E5C63CC">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77CA4E4B">
            <w:pPr>
              <w:pStyle w:val="40"/>
              <w:pageBreakBefore w:val="0"/>
              <w:kinsoku/>
              <w:wordWrap/>
              <w:overflowPunct/>
              <w:topLinePunct w:val="0"/>
              <w:autoSpaceDE/>
              <w:autoSpaceDN/>
              <w:bidi w:val="0"/>
              <w:adjustRightInd/>
              <w:snapToGrid/>
              <w:spacing w:line="560" w:lineRule="exact"/>
              <w:textAlignment w:val="auto"/>
            </w:pPr>
            <w:r>
              <w:rPr>
                <w:rFonts w:hint="eastAsia"/>
              </w:rPr>
              <w:t>得分查询</w:t>
            </w:r>
          </w:p>
        </w:tc>
        <w:tc>
          <w:tcPr>
            <w:tcW w:w="5030" w:type="dxa"/>
            <w:shd w:val="clear" w:color="auto" w:fill="auto"/>
            <w:vAlign w:val="center"/>
          </w:tcPr>
          <w:p w14:paraId="6F8BE7F4">
            <w:pPr>
              <w:pStyle w:val="40"/>
              <w:pageBreakBefore w:val="0"/>
              <w:kinsoku/>
              <w:wordWrap/>
              <w:overflowPunct/>
              <w:topLinePunct w:val="0"/>
              <w:autoSpaceDE/>
              <w:autoSpaceDN/>
              <w:bidi w:val="0"/>
              <w:adjustRightInd/>
              <w:snapToGrid/>
              <w:spacing w:line="560" w:lineRule="exact"/>
              <w:textAlignment w:val="auto"/>
            </w:pPr>
            <w:r>
              <w:rPr>
                <w:rFonts w:hint="eastAsia"/>
              </w:rPr>
              <w:t>科室查询各自KPI的目标值、考核制以及对应得分</w:t>
            </w:r>
          </w:p>
        </w:tc>
      </w:tr>
      <w:tr w14:paraId="5CAF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1400" w:type="dxa"/>
            <w:vMerge w:val="continue"/>
            <w:vAlign w:val="center"/>
          </w:tcPr>
          <w:p w14:paraId="71E2C138">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44FE41DE">
            <w:pPr>
              <w:pStyle w:val="40"/>
              <w:pageBreakBefore w:val="0"/>
              <w:kinsoku/>
              <w:wordWrap/>
              <w:overflowPunct/>
              <w:topLinePunct w:val="0"/>
              <w:autoSpaceDE/>
              <w:autoSpaceDN/>
              <w:bidi w:val="0"/>
              <w:adjustRightInd/>
              <w:snapToGrid/>
              <w:spacing w:line="560" w:lineRule="exact"/>
              <w:textAlignment w:val="auto"/>
            </w:pPr>
            <w:r>
              <w:rPr>
                <w:rFonts w:hint="eastAsia"/>
              </w:rPr>
              <w:t>目标值管理</w:t>
            </w:r>
          </w:p>
        </w:tc>
        <w:tc>
          <w:tcPr>
            <w:tcW w:w="5030" w:type="dxa"/>
            <w:shd w:val="clear" w:color="auto" w:fill="auto"/>
            <w:vAlign w:val="center"/>
          </w:tcPr>
          <w:p w14:paraId="5D965DE2">
            <w:pPr>
              <w:pStyle w:val="40"/>
              <w:pageBreakBefore w:val="0"/>
              <w:kinsoku/>
              <w:wordWrap/>
              <w:overflowPunct/>
              <w:topLinePunct w:val="0"/>
              <w:autoSpaceDE/>
              <w:autoSpaceDN/>
              <w:bidi w:val="0"/>
              <w:adjustRightInd/>
              <w:snapToGrid/>
              <w:spacing w:line="560" w:lineRule="exact"/>
              <w:textAlignment w:val="auto"/>
            </w:pPr>
            <w:r>
              <w:rPr>
                <w:rFonts w:hint="eastAsia"/>
              </w:rPr>
              <w:t>维护不同核算单元的指标的目标值</w:t>
            </w:r>
          </w:p>
        </w:tc>
      </w:tr>
      <w:tr w14:paraId="30F2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restart"/>
            <w:shd w:val="clear" w:color="auto" w:fill="auto"/>
            <w:noWrap/>
            <w:vAlign w:val="center"/>
          </w:tcPr>
          <w:p w14:paraId="2390C8DC">
            <w:pPr>
              <w:pStyle w:val="40"/>
              <w:pageBreakBefore w:val="0"/>
              <w:kinsoku/>
              <w:wordWrap/>
              <w:overflowPunct/>
              <w:topLinePunct w:val="0"/>
              <w:autoSpaceDE/>
              <w:autoSpaceDN/>
              <w:bidi w:val="0"/>
              <w:adjustRightInd/>
              <w:snapToGrid/>
              <w:spacing w:line="560" w:lineRule="exact"/>
              <w:textAlignment w:val="auto"/>
            </w:pPr>
            <w:r>
              <w:rPr>
                <w:rFonts w:hint="eastAsia"/>
              </w:rPr>
              <w:t>人事信息</w:t>
            </w:r>
          </w:p>
        </w:tc>
        <w:tc>
          <w:tcPr>
            <w:tcW w:w="1790" w:type="dxa"/>
            <w:shd w:val="clear" w:color="auto" w:fill="auto"/>
            <w:noWrap/>
            <w:vAlign w:val="center"/>
          </w:tcPr>
          <w:p w14:paraId="43F5EBFB">
            <w:pPr>
              <w:pStyle w:val="40"/>
              <w:pageBreakBefore w:val="0"/>
              <w:kinsoku/>
              <w:wordWrap/>
              <w:overflowPunct/>
              <w:topLinePunct w:val="0"/>
              <w:autoSpaceDE/>
              <w:autoSpaceDN/>
              <w:bidi w:val="0"/>
              <w:adjustRightInd/>
              <w:snapToGrid/>
              <w:spacing w:line="560" w:lineRule="exact"/>
              <w:textAlignment w:val="auto"/>
            </w:pPr>
            <w:r>
              <w:rPr>
                <w:rFonts w:hint="eastAsia"/>
              </w:rPr>
              <w:t>员工信息管理</w:t>
            </w:r>
          </w:p>
        </w:tc>
        <w:tc>
          <w:tcPr>
            <w:tcW w:w="5030" w:type="dxa"/>
            <w:shd w:val="clear" w:color="auto" w:fill="auto"/>
            <w:vAlign w:val="center"/>
          </w:tcPr>
          <w:p w14:paraId="5C98E6E7">
            <w:pPr>
              <w:pStyle w:val="40"/>
              <w:pageBreakBefore w:val="0"/>
              <w:kinsoku/>
              <w:wordWrap/>
              <w:overflowPunct/>
              <w:topLinePunct w:val="0"/>
              <w:autoSpaceDE/>
              <w:autoSpaceDN/>
              <w:bidi w:val="0"/>
              <w:adjustRightInd/>
              <w:snapToGrid/>
              <w:spacing w:line="560" w:lineRule="exact"/>
              <w:textAlignment w:val="auto"/>
            </w:pPr>
            <w:r>
              <w:rPr>
                <w:rFonts w:hint="eastAsia"/>
              </w:rPr>
              <w:t>全院员工个人信息的维护，可设置其对应HIS工号等</w:t>
            </w:r>
          </w:p>
        </w:tc>
      </w:tr>
      <w:tr w14:paraId="597D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3ACEC5B9">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4E847CA9">
            <w:pPr>
              <w:pStyle w:val="40"/>
              <w:pageBreakBefore w:val="0"/>
              <w:kinsoku/>
              <w:wordWrap/>
              <w:overflowPunct/>
              <w:topLinePunct w:val="0"/>
              <w:autoSpaceDE/>
              <w:autoSpaceDN/>
              <w:bidi w:val="0"/>
              <w:adjustRightInd/>
              <w:snapToGrid/>
              <w:spacing w:line="560" w:lineRule="exact"/>
              <w:textAlignment w:val="auto"/>
            </w:pPr>
            <w:r>
              <w:rPr>
                <w:rFonts w:hint="eastAsia"/>
              </w:rPr>
              <w:t>员工月查询</w:t>
            </w:r>
          </w:p>
        </w:tc>
        <w:tc>
          <w:tcPr>
            <w:tcW w:w="5030" w:type="dxa"/>
            <w:shd w:val="clear" w:color="auto" w:fill="auto"/>
            <w:vAlign w:val="center"/>
          </w:tcPr>
          <w:p w14:paraId="04586092">
            <w:pPr>
              <w:pStyle w:val="40"/>
              <w:pageBreakBefore w:val="0"/>
              <w:kinsoku/>
              <w:wordWrap/>
              <w:overflowPunct/>
              <w:topLinePunct w:val="0"/>
              <w:autoSpaceDE/>
              <w:autoSpaceDN/>
              <w:bidi w:val="0"/>
              <w:adjustRightInd/>
              <w:snapToGrid/>
              <w:spacing w:line="560" w:lineRule="exact"/>
              <w:textAlignment w:val="auto"/>
            </w:pPr>
            <w:r>
              <w:rPr>
                <w:rFonts w:hint="eastAsia"/>
              </w:rPr>
              <w:t>按月归档员工信息的查询，以及逐条信息的修改</w:t>
            </w:r>
          </w:p>
        </w:tc>
      </w:tr>
      <w:tr w14:paraId="4BC1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7524E559">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29A22A6A">
            <w:pPr>
              <w:pStyle w:val="40"/>
              <w:pageBreakBefore w:val="0"/>
              <w:kinsoku/>
              <w:wordWrap/>
              <w:overflowPunct/>
              <w:topLinePunct w:val="0"/>
              <w:autoSpaceDE/>
              <w:autoSpaceDN/>
              <w:bidi w:val="0"/>
              <w:adjustRightInd/>
              <w:snapToGrid/>
              <w:spacing w:line="560" w:lineRule="exact"/>
              <w:textAlignment w:val="auto"/>
            </w:pPr>
            <w:r>
              <w:rPr>
                <w:rFonts w:hint="eastAsia"/>
              </w:rPr>
              <w:t>岗位字典</w:t>
            </w:r>
          </w:p>
        </w:tc>
        <w:tc>
          <w:tcPr>
            <w:tcW w:w="5030" w:type="dxa"/>
            <w:shd w:val="clear" w:color="auto" w:fill="auto"/>
            <w:vAlign w:val="center"/>
          </w:tcPr>
          <w:p w14:paraId="408E3893">
            <w:pPr>
              <w:pStyle w:val="40"/>
              <w:pageBreakBefore w:val="0"/>
              <w:kinsoku/>
              <w:wordWrap/>
              <w:overflowPunct/>
              <w:topLinePunct w:val="0"/>
              <w:autoSpaceDE/>
              <w:autoSpaceDN/>
              <w:bidi w:val="0"/>
              <w:adjustRightInd/>
              <w:snapToGrid/>
              <w:spacing w:line="560" w:lineRule="exact"/>
              <w:textAlignment w:val="auto"/>
            </w:pPr>
            <w:r>
              <w:rPr>
                <w:rFonts w:hint="eastAsia"/>
              </w:rPr>
              <w:t>设置院内岗位字典</w:t>
            </w:r>
          </w:p>
        </w:tc>
      </w:tr>
      <w:tr w14:paraId="3EBC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635261F7">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44B328CE">
            <w:pPr>
              <w:pStyle w:val="40"/>
              <w:pageBreakBefore w:val="0"/>
              <w:kinsoku/>
              <w:wordWrap/>
              <w:overflowPunct/>
              <w:topLinePunct w:val="0"/>
              <w:autoSpaceDE/>
              <w:autoSpaceDN/>
              <w:bidi w:val="0"/>
              <w:adjustRightInd/>
              <w:snapToGrid/>
              <w:spacing w:line="560" w:lineRule="exact"/>
              <w:textAlignment w:val="auto"/>
            </w:pPr>
            <w:r>
              <w:rPr>
                <w:rFonts w:hint="eastAsia"/>
              </w:rPr>
              <w:t>职称字典</w:t>
            </w:r>
          </w:p>
        </w:tc>
        <w:tc>
          <w:tcPr>
            <w:tcW w:w="5030" w:type="dxa"/>
            <w:shd w:val="clear" w:color="auto" w:fill="auto"/>
            <w:vAlign w:val="center"/>
          </w:tcPr>
          <w:p w14:paraId="57E5285A">
            <w:pPr>
              <w:pStyle w:val="40"/>
              <w:pageBreakBefore w:val="0"/>
              <w:kinsoku/>
              <w:wordWrap/>
              <w:overflowPunct/>
              <w:topLinePunct w:val="0"/>
              <w:autoSpaceDE/>
              <w:autoSpaceDN/>
              <w:bidi w:val="0"/>
              <w:adjustRightInd/>
              <w:snapToGrid/>
              <w:spacing w:line="560" w:lineRule="exact"/>
              <w:textAlignment w:val="auto"/>
            </w:pPr>
            <w:r>
              <w:rPr>
                <w:rFonts w:hint="eastAsia"/>
              </w:rPr>
              <w:t>设置院内职称字典</w:t>
            </w:r>
          </w:p>
        </w:tc>
      </w:tr>
      <w:tr w14:paraId="28E5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3B448B5D">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6E656470">
            <w:pPr>
              <w:pStyle w:val="40"/>
              <w:pageBreakBefore w:val="0"/>
              <w:kinsoku/>
              <w:wordWrap/>
              <w:overflowPunct/>
              <w:topLinePunct w:val="0"/>
              <w:autoSpaceDE/>
              <w:autoSpaceDN/>
              <w:bidi w:val="0"/>
              <w:adjustRightInd/>
              <w:snapToGrid/>
              <w:spacing w:line="560" w:lineRule="exact"/>
              <w:textAlignment w:val="auto"/>
            </w:pPr>
            <w:r>
              <w:rPr>
                <w:rFonts w:hint="eastAsia"/>
              </w:rPr>
              <w:t>行政职务字典</w:t>
            </w:r>
          </w:p>
        </w:tc>
        <w:tc>
          <w:tcPr>
            <w:tcW w:w="5030" w:type="dxa"/>
            <w:shd w:val="clear" w:color="auto" w:fill="auto"/>
            <w:vAlign w:val="center"/>
          </w:tcPr>
          <w:p w14:paraId="6F52B956">
            <w:pPr>
              <w:pStyle w:val="40"/>
              <w:pageBreakBefore w:val="0"/>
              <w:kinsoku/>
              <w:wordWrap/>
              <w:overflowPunct/>
              <w:topLinePunct w:val="0"/>
              <w:autoSpaceDE/>
              <w:autoSpaceDN/>
              <w:bidi w:val="0"/>
              <w:adjustRightInd/>
              <w:snapToGrid/>
              <w:spacing w:line="560" w:lineRule="exact"/>
              <w:textAlignment w:val="auto"/>
            </w:pPr>
            <w:r>
              <w:rPr>
                <w:rFonts w:hint="eastAsia"/>
              </w:rPr>
              <w:t>设置院内行政职务字典</w:t>
            </w:r>
          </w:p>
        </w:tc>
      </w:tr>
      <w:tr w14:paraId="49B6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5EB10AFE">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0DC2654D">
            <w:pPr>
              <w:pStyle w:val="40"/>
              <w:pageBreakBefore w:val="0"/>
              <w:kinsoku/>
              <w:wordWrap/>
              <w:overflowPunct/>
              <w:topLinePunct w:val="0"/>
              <w:autoSpaceDE/>
              <w:autoSpaceDN/>
              <w:bidi w:val="0"/>
              <w:adjustRightInd/>
              <w:snapToGrid/>
              <w:spacing w:line="560" w:lineRule="exact"/>
              <w:textAlignment w:val="auto"/>
            </w:pPr>
            <w:r>
              <w:rPr>
                <w:rFonts w:hint="eastAsia"/>
              </w:rPr>
              <w:t>护理能级字典</w:t>
            </w:r>
          </w:p>
        </w:tc>
        <w:tc>
          <w:tcPr>
            <w:tcW w:w="5030" w:type="dxa"/>
            <w:shd w:val="clear" w:color="auto" w:fill="auto"/>
            <w:vAlign w:val="center"/>
          </w:tcPr>
          <w:p w14:paraId="33D10256">
            <w:pPr>
              <w:pStyle w:val="40"/>
              <w:pageBreakBefore w:val="0"/>
              <w:kinsoku/>
              <w:wordWrap/>
              <w:overflowPunct/>
              <w:topLinePunct w:val="0"/>
              <w:autoSpaceDE/>
              <w:autoSpaceDN/>
              <w:bidi w:val="0"/>
              <w:adjustRightInd/>
              <w:snapToGrid/>
              <w:spacing w:line="560" w:lineRule="exact"/>
              <w:textAlignment w:val="auto"/>
            </w:pPr>
            <w:r>
              <w:rPr>
                <w:rFonts w:hint="eastAsia"/>
              </w:rPr>
              <w:t>设置院内护理能级字典</w:t>
            </w:r>
          </w:p>
        </w:tc>
      </w:tr>
      <w:tr w14:paraId="381F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restart"/>
            <w:shd w:val="clear" w:color="auto" w:fill="auto"/>
            <w:noWrap/>
            <w:vAlign w:val="center"/>
          </w:tcPr>
          <w:p w14:paraId="2D79ADA5">
            <w:pPr>
              <w:pStyle w:val="40"/>
              <w:pageBreakBefore w:val="0"/>
              <w:kinsoku/>
              <w:wordWrap/>
              <w:overflowPunct/>
              <w:topLinePunct w:val="0"/>
              <w:autoSpaceDE/>
              <w:autoSpaceDN/>
              <w:bidi w:val="0"/>
              <w:adjustRightInd/>
              <w:snapToGrid/>
              <w:spacing w:line="560" w:lineRule="exact"/>
              <w:textAlignment w:val="auto"/>
            </w:pPr>
            <w:r>
              <w:rPr>
                <w:rFonts w:hint="eastAsia"/>
              </w:rPr>
              <w:t>组织架构管理</w:t>
            </w:r>
          </w:p>
        </w:tc>
        <w:tc>
          <w:tcPr>
            <w:tcW w:w="1790" w:type="dxa"/>
            <w:shd w:val="clear" w:color="auto" w:fill="auto"/>
            <w:noWrap/>
            <w:vAlign w:val="center"/>
          </w:tcPr>
          <w:p w14:paraId="40E70206">
            <w:pPr>
              <w:pStyle w:val="40"/>
              <w:pageBreakBefore w:val="0"/>
              <w:kinsoku/>
              <w:wordWrap/>
              <w:overflowPunct/>
              <w:topLinePunct w:val="0"/>
              <w:autoSpaceDE/>
              <w:autoSpaceDN/>
              <w:bidi w:val="0"/>
              <w:adjustRightInd/>
              <w:snapToGrid/>
              <w:spacing w:line="560" w:lineRule="exact"/>
              <w:textAlignment w:val="auto"/>
            </w:pPr>
            <w:r>
              <w:rPr>
                <w:rFonts w:hint="eastAsia"/>
              </w:rPr>
              <w:t>核算单元管理</w:t>
            </w:r>
          </w:p>
        </w:tc>
        <w:tc>
          <w:tcPr>
            <w:tcW w:w="5030" w:type="dxa"/>
            <w:shd w:val="clear" w:color="auto" w:fill="auto"/>
            <w:vAlign w:val="center"/>
          </w:tcPr>
          <w:p w14:paraId="6B1E3ED5">
            <w:pPr>
              <w:pStyle w:val="40"/>
              <w:pageBreakBefore w:val="0"/>
              <w:kinsoku/>
              <w:wordWrap/>
              <w:overflowPunct/>
              <w:topLinePunct w:val="0"/>
              <w:autoSpaceDE/>
              <w:autoSpaceDN/>
              <w:bidi w:val="0"/>
              <w:adjustRightInd/>
              <w:snapToGrid/>
              <w:spacing w:line="560" w:lineRule="exact"/>
              <w:textAlignment w:val="auto"/>
            </w:pPr>
            <w:r>
              <w:rPr>
                <w:rFonts w:hint="eastAsia"/>
              </w:rPr>
              <w:t>核算单元的设置，及其关联HIS科室的对应关系</w:t>
            </w:r>
          </w:p>
        </w:tc>
      </w:tr>
      <w:tr w14:paraId="7318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00" w:type="dxa"/>
            <w:vMerge w:val="continue"/>
            <w:vAlign w:val="center"/>
          </w:tcPr>
          <w:p w14:paraId="0D9C6229">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1F77645F">
            <w:pPr>
              <w:pStyle w:val="40"/>
              <w:pageBreakBefore w:val="0"/>
              <w:kinsoku/>
              <w:wordWrap/>
              <w:overflowPunct/>
              <w:topLinePunct w:val="0"/>
              <w:autoSpaceDE/>
              <w:autoSpaceDN/>
              <w:bidi w:val="0"/>
              <w:adjustRightInd/>
              <w:snapToGrid/>
              <w:spacing w:line="560" w:lineRule="exact"/>
              <w:textAlignment w:val="auto"/>
            </w:pPr>
            <w:r>
              <w:rPr>
                <w:rFonts w:hint="eastAsia"/>
              </w:rPr>
              <w:t>发放单元管理</w:t>
            </w:r>
          </w:p>
        </w:tc>
        <w:tc>
          <w:tcPr>
            <w:tcW w:w="5030" w:type="dxa"/>
            <w:shd w:val="clear" w:color="auto" w:fill="auto"/>
            <w:vAlign w:val="center"/>
          </w:tcPr>
          <w:p w14:paraId="06A85682">
            <w:pPr>
              <w:pStyle w:val="40"/>
              <w:pageBreakBefore w:val="0"/>
              <w:kinsoku/>
              <w:wordWrap/>
              <w:overflowPunct/>
              <w:topLinePunct w:val="0"/>
              <w:autoSpaceDE/>
              <w:autoSpaceDN/>
              <w:bidi w:val="0"/>
              <w:adjustRightInd/>
              <w:snapToGrid/>
              <w:spacing w:line="560" w:lineRule="exact"/>
              <w:textAlignment w:val="auto"/>
            </w:pPr>
            <w:r>
              <w:rPr>
                <w:rFonts w:hint="eastAsia"/>
              </w:rPr>
              <w:t>在核算单元上层设置发放单元，维护发放单元和核算单元的对应关系</w:t>
            </w:r>
          </w:p>
        </w:tc>
      </w:tr>
      <w:tr w14:paraId="07DF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00" w:type="dxa"/>
            <w:vMerge w:val="continue"/>
            <w:vAlign w:val="center"/>
          </w:tcPr>
          <w:p w14:paraId="164AC909">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19D638E3">
            <w:pPr>
              <w:pStyle w:val="40"/>
              <w:pageBreakBefore w:val="0"/>
              <w:kinsoku/>
              <w:wordWrap/>
              <w:overflowPunct/>
              <w:topLinePunct w:val="0"/>
              <w:autoSpaceDE/>
              <w:autoSpaceDN/>
              <w:bidi w:val="0"/>
              <w:adjustRightInd/>
              <w:snapToGrid/>
              <w:spacing w:line="560" w:lineRule="exact"/>
              <w:textAlignment w:val="auto"/>
            </w:pPr>
            <w:r>
              <w:rPr>
                <w:rFonts w:hint="eastAsia"/>
              </w:rPr>
              <w:t>科室管理</w:t>
            </w:r>
          </w:p>
        </w:tc>
        <w:tc>
          <w:tcPr>
            <w:tcW w:w="5030" w:type="dxa"/>
            <w:shd w:val="clear" w:color="auto" w:fill="auto"/>
            <w:vAlign w:val="center"/>
          </w:tcPr>
          <w:p w14:paraId="7FFE5DA1">
            <w:pPr>
              <w:pStyle w:val="40"/>
              <w:pageBreakBefore w:val="0"/>
              <w:kinsoku/>
              <w:wordWrap/>
              <w:overflowPunct/>
              <w:topLinePunct w:val="0"/>
              <w:autoSpaceDE/>
              <w:autoSpaceDN/>
              <w:bidi w:val="0"/>
              <w:adjustRightInd/>
              <w:snapToGrid/>
              <w:spacing w:line="560" w:lineRule="exact"/>
              <w:textAlignment w:val="auto"/>
            </w:pPr>
            <w:r>
              <w:rPr>
                <w:rFonts w:hint="eastAsia"/>
              </w:rPr>
              <w:t>按照院内科室级别设置，创建科室字典，并且创建科室和核算单元的对应关系</w:t>
            </w:r>
          </w:p>
        </w:tc>
      </w:tr>
      <w:tr w14:paraId="4825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00" w:type="dxa"/>
            <w:vMerge w:val="continue"/>
            <w:vAlign w:val="center"/>
          </w:tcPr>
          <w:p w14:paraId="25B5A8CC">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02E38C4F">
            <w:pPr>
              <w:pStyle w:val="40"/>
              <w:pageBreakBefore w:val="0"/>
              <w:kinsoku/>
              <w:wordWrap/>
              <w:overflowPunct/>
              <w:topLinePunct w:val="0"/>
              <w:autoSpaceDE/>
              <w:autoSpaceDN/>
              <w:bidi w:val="0"/>
              <w:adjustRightInd/>
              <w:snapToGrid/>
              <w:spacing w:line="560" w:lineRule="exact"/>
              <w:textAlignment w:val="auto"/>
            </w:pPr>
            <w:r>
              <w:rPr>
                <w:rFonts w:hint="eastAsia"/>
              </w:rPr>
              <w:t>医疗组管理</w:t>
            </w:r>
          </w:p>
        </w:tc>
        <w:tc>
          <w:tcPr>
            <w:tcW w:w="5030" w:type="dxa"/>
            <w:shd w:val="clear" w:color="auto" w:fill="auto"/>
            <w:vAlign w:val="center"/>
          </w:tcPr>
          <w:p w14:paraId="4EA3A470">
            <w:pPr>
              <w:pStyle w:val="40"/>
              <w:pageBreakBefore w:val="0"/>
              <w:kinsoku/>
              <w:wordWrap/>
              <w:overflowPunct/>
              <w:topLinePunct w:val="0"/>
              <w:autoSpaceDE/>
              <w:autoSpaceDN/>
              <w:bidi w:val="0"/>
              <w:adjustRightInd/>
              <w:snapToGrid/>
              <w:spacing w:line="560" w:lineRule="exact"/>
              <w:textAlignment w:val="auto"/>
            </w:pPr>
            <w:r>
              <w:rPr>
                <w:rFonts w:hint="eastAsia"/>
              </w:rPr>
              <w:t>设置全部医疗组，并建立医疗组和科室、核算单元的对应关系</w:t>
            </w:r>
          </w:p>
        </w:tc>
      </w:tr>
      <w:tr w14:paraId="4CE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00" w:type="dxa"/>
            <w:vMerge w:val="restart"/>
            <w:shd w:val="clear" w:color="auto" w:fill="auto"/>
            <w:noWrap/>
            <w:vAlign w:val="center"/>
          </w:tcPr>
          <w:p w14:paraId="5E01E483">
            <w:pPr>
              <w:pStyle w:val="40"/>
              <w:pageBreakBefore w:val="0"/>
              <w:kinsoku/>
              <w:wordWrap/>
              <w:overflowPunct/>
              <w:topLinePunct w:val="0"/>
              <w:autoSpaceDE/>
              <w:autoSpaceDN/>
              <w:bidi w:val="0"/>
              <w:adjustRightInd/>
              <w:snapToGrid/>
              <w:spacing w:line="560" w:lineRule="exact"/>
              <w:textAlignment w:val="auto"/>
            </w:pPr>
            <w:r>
              <w:rPr>
                <w:rFonts w:hint="eastAsia"/>
              </w:rPr>
              <w:t>数据汇总分析</w:t>
            </w:r>
          </w:p>
        </w:tc>
        <w:tc>
          <w:tcPr>
            <w:tcW w:w="1790" w:type="dxa"/>
            <w:shd w:val="clear" w:color="auto" w:fill="auto"/>
            <w:noWrap/>
            <w:vAlign w:val="center"/>
          </w:tcPr>
          <w:p w14:paraId="758F2E16">
            <w:pPr>
              <w:pStyle w:val="40"/>
              <w:pageBreakBefore w:val="0"/>
              <w:kinsoku/>
              <w:wordWrap/>
              <w:overflowPunct/>
              <w:topLinePunct w:val="0"/>
              <w:autoSpaceDE/>
              <w:autoSpaceDN/>
              <w:bidi w:val="0"/>
              <w:adjustRightInd/>
              <w:snapToGrid/>
              <w:spacing w:line="560" w:lineRule="exact"/>
              <w:textAlignment w:val="auto"/>
            </w:pPr>
            <w:r>
              <w:rPr>
                <w:rFonts w:hint="eastAsia"/>
              </w:rPr>
              <w:t>表格数据分析</w:t>
            </w:r>
          </w:p>
        </w:tc>
        <w:tc>
          <w:tcPr>
            <w:tcW w:w="5030" w:type="dxa"/>
            <w:shd w:val="clear" w:color="auto" w:fill="auto"/>
            <w:vAlign w:val="center"/>
          </w:tcPr>
          <w:p w14:paraId="4E4D00C0">
            <w:pPr>
              <w:pStyle w:val="40"/>
              <w:pageBreakBefore w:val="0"/>
              <w:kinsoku/>
              <w:wordWrap/>
              <w:overflowPunct/>
              <w:topLinePunct w:val="0"/>
              <w:autoSpaceDE/>
              <w:autoSpaceDN/>
              <w:bidi w:val="0"/>
              <w:adjustRightInd/>
              <w:snapToGrid/>
              <w:spacing w:line="560" w:lineRule="exact"/>
              <w:textAlignment w:val="auto"/>
            </w:pPr>
            <w:r>
              <w:rPr>
                <w:rFonts w:hint="eastAsia"/>
              </w:rPr>
              <w:t>可对所有后台表格设置查询条件，并进行检索。支持数据导出</w:t>
            </w:r>
          </w:p>
        </w:tc>
      </w:tr>
      <w:tr w14:paraId="68AD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06397514">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50D07091">
            <w:pPr>
              <w:pStyle w:val="40"/>
              <w:pageBreakBefore w:val="0"/>
              <w:kinsoku/>
              <w:wordWrap/>
              <w:overflowPunct/>
              <w:topLinePunct w:val="0"/>
              <w:autoSpaceDE/>
              <w:autoSpaceDN/>
              <w:bidi w:val="0"/>
              <w:adjustRightInd/>
              <w:snapToGrid/>
              <w:spacing w:line="560" w:lineRule="exact"/>
              <w:textAlignment w:val="auto"/>
            </w:pPr>
            <w:r>
              <w:rPr>
                <w:rFonts w:hint="eastAsia"/>
              </w:rPr>
              <w:t>数据采集情况</w:t>
            </w:r>
          </w:p>
        </w:tc>
        <w:tc>
          <w:tcPr>
            <w:tcW w:w="5030" w:type="dxa"/>
            <w:shd w:val="clear" w:color="auto" w:fill="auto"/>
            <w:vAlign w:val="center"/>
          </w:tcPr>
          <w:p w14:paraId="2C7C75C9">
            <w:pPr>
              <w:pStyle w:val="40"/>
              <w:pageBreakBefore w:val="0"/>
              <w:kinsoku/>
              <w:wordWrap/>
              <w:overflowPunct/>
              <w:topLinePunct w:val="0"/>
              <w:autoSpaceDE/>
              <w:autoSpaceDN/>
              <w:bidi w:val="0"/>
              <w:adjustRightInd/>
              <w:snapToGrid/>
              <w:spacing w:line="560" w:lineRule="exact"/>
              <w:textAlignment w:val="auto"/>
            </w:pPr>
            <w:r>
              <w:rPr>
                <w:rFonts w:hint="eastAsia"/>
              </w:rPr>
              <w:t>监控数据采集的执行情况</w:t>
            </w:r>
          </w:p>
        </w:tc>
      </w:tr>
      <w:tr w14:paraId="1EC8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00" w:type="dxa"/>
            <w:vMerge w:val="continue"/>
            <w:vAlign w:val="center"/>
          </w:tcPr>
          <w:p w14:paraId="004C5F8D">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7E5C18DF">
            <w:pPr>
              <w:pStyle w:val="40"/>
              <w:pageBreakBefore w:val="0"/>
              <w:kinsoku/>
              <w:wordWrap/>
              <w:overflowPunct/>
              <w:topLinePunct w:val="0"/>
              <w:autoSpaceDE/>
              <w:autoSpaceDN/>
              <w:bidi w:val="0"/>
              <w:adjustRightInd/>
              <w:snapToGrid/>
              <w:spacing w:line="560" w:lineRule="exact"/>
              <w:textAlignment w:val="auto"/>
            </w:pPr>
            <w:r>
              <w:rPr>
                <w:rFonts w:hint="eastAsia"/>
              </w:rPr>
              <w:t>表格数据维护</w:t>
            </w:r>
          </w:p>
        </w:tc>
        <w:tc>
          <w:tcPr>
            <w:tcW w:w="5030" w:type="dxa"/>
            <w:shd w:val="clear" w:color="auto" w:fill="auto"/>
            <w:vAlign w:val="center"/>
          </w:tcPr>
          <w:p w14:paraId="5972D0CA">
            <w:pPr>
              <w:pStyle w:val="40"/>
              <w:pageBreakBefore w:val="0"/>
              <w:kinsoku/>
              <w:wordWrap/>
              <w:overflowPunct/>
              <w:topLinePunct w:val="0"/>
              <w:autoSpaceDE/>
              <w:autoSpaceDN/>
              <w:bidi w:val="0"/>
              <w:adjustRightInd/>
              <w:snapToGrid/>
              <w:spacing w:line="560" w:lineRule="exact"/>
              <w:textAlignment w:val="auto"/>
            </w:pPr>
            <w:r>
              <w:rPr>
                <w:rFonts w:hint="eastAsia"/>
              </w:rPr>
              <w:t>依照条件查询某些表格数据，并可直接对数据进行编辑和修改</w:t>
            </w:r>
          </w:p>
        </w:tc>
      </w:tr>
      <w:tr w14:paraId="7102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00" w:type="dxa"/>
            <w:vMerge w:val="continue"/>
            <w:vAlign w:val="center"/>
          </w:tcPr>
          <w:p w14:paraId="30A87017">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03D83B2D">
            <w:pPr>
              <w:pStyle w:val="40"/>
              <w:pageBreakBefore w:val="0"/>
              <w:kinsoku/>
              <w:wordWrap/>
              <w:overflowPunct/>
              <w:topLinePunct w:val="0"/>
              <w:autoSpaceDE/>
              <w:autoSpaceDN/>
              <w:bidi w:val="0"/>
              <w:adjustRightInd/>
              <w:snapToGrid/>
              <w:spacing w:line="560" w:lineRule="exact"/>
              <w:textAlignment w:val="auto"/>
            </w:pPr>
            <w:r>
              <w:rPr>
                <w:rFonts w:hint="eastAsia"/>
              </w:rPr>
              <w:t>点数明细查询</w:t>
            </w:r>
          </w:p>
        </w:tc>
        <w:tc>
          <w:tcPr>
            <w:tcW w:w="5030" w:type="dxa"/>
            <w:shd w:val="clear" w:color="auto" w:fill="auto"/>
            <w:vAlign w:val="center"/>
          </w:tcPr>
          <w:p w14:paraId="38055C95">
            <w:pPr>
              <w:pStyle w:val="40"/>
              <w:pageBreakBefore w:val="0"/>
              <w:kinsoku/>
              <w:wordWrap/>
              <w:overflowPunct/>
              <w:topLinePunct w:val="0"/>
              <w:autoSpaceDE/>
              <w:autoSpaceDN/>
              <w:bidi w:val="0"/>
              <w:adjustRightInd/>
              <w:snapToGrid/>
              <w:spacing w:line="560" w:lineRule="exact"/>
              <w:textAlignment w:val="auto"/>
            </w:pPr>
            <w:r>
              <w:rPr>
                <w:rFonts w:hint="eastAsia"/>
              </w:rPr>
              <w:t>科室查询各自奖金规则的收费明细项，并支持明细数据下载功能</w:t>
            </w:r>
          </w:p>
        </w:tc>
      </w:tr>
      <w:tr w14:paraId="27F7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400" w:type="dxa"/>
            <w:vMerge w:val="continue"/>
            <w:vAlign w:val="center"/>
          </w:tcPr>
          <w:p w14:paraId="1B0DE03C">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525C1DF7">
            <w:pPr>
              <w:pStyle w:val="40"/>
              <w:pageBreakBefore w:val="0"/>
              <w:kinsoku/>
              <w:wordWrap/>
              <w:overflowPunct/>
              <w:topLinePunct w:val="0"/>
              <w:autoSpaceDE/>
              <w:autoSpaceDN/>
              <w:bidi w:val="0"/>
              <w:adjustRightInd/>
              <w:snapToGrid/>
              <w:spacing w:line="560" w:lineRule="exact"/>
              <w:textAlignment w:val="auto"/>
            </w:pPr>
            <w:r>
              <w:t>科室后台明细</w:t>
            </w:r>
          </w:p>
        </w:tc>
        <w:tc>
          <w:tcPr>
            <w:tcW w:w="5030" w:type="dxa"/>
            <w:shd w:val="clear" w:color="auto" w:fill="auto"/>
            <w:vAlign w:val="center"/>
          </w:tcPr>
          <w:p w14:paraId="0601BA24">
            <w:pPr>
              <w:pStyle w:val="40"/>
              <w:pageBreakBefore w:val="0"/>
              <w:kinsoku/>
              <w:wordWrap/>
              <w:overflowPunct/>
              <w:topLinePunct w:val="0"/>
              <w:autoSpaceDE/>
              <w:autoSpaceDN/>
              <w:bidi w:val="0"/>
              <w:adjustRightInd/>
              <w:snapToGrid/>
              <w:spacing w:line="560" w:lineRule="exact"/>
              <w:textAlignment w:val="auto"/>
            </w:pPr>
            <w:r>
              <w:t>可以配置查询模板并一键调用，通过不同的条件组合，查询或汇总统计科室及个人的费用、工作量点数、项目数量等信息，类似于Excel的透视图</w:t>
            </w:r>
            <w:r>
              <w:rPr>
                <w:rFonts w:hint="eastAsia"/>
              </w:rPr>
              <w:t>。</w:t>
            </w:r>
          </w:p>
        </w:tc>
      </w:tr>
      <w:tr w14:paraId="1243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00" w:type="dxa"/>
            <w:vMerge w:val="continue"/>
            <w:vAlign w:val="center"/>
          </w:tcPr>
          <w:p w14:paraId="06CDCF6A">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0F32ACCF">
            <w:pPr>
              <w:pStyle w:val="40"/>
              <w:pageBreakBefore w:val="0"/>
              <w:kinsoku/>
              <w:wordWrap/>
              <w:overflowPunct/>
              <w:topLinePunct w:val="0"/>
              <w:autoSpaceDE/>
              <w:autoSpaceDN/>
              <w:bidi w:val="0"/>
              <w:adjustRightInd/>
              <w:snapToGrid/>
              <w:spacing w:line="560" w:lineRule="exact"/>
              <w:textAlignment w:val="auto"/>
            </w:pPr>
            <w:r>
              <w:rPr>
                <w:rFonts w:hint="eastAsia"/>
              </w:rPr>
              <w:t>运营管理</w:t>
            </w:r>
          </w:p>
        </w:tc>
        <w:tc>
          <w:tcPr>
            <w:tcW w:w="5030" w:type="dxa"/>
            <w:shd w:val="clear" w:color="auto" w:fill="auto"/>
            <w:vAlign w:val="center"/>
          </w:tcPr>
          <w:p w14:paraId="1F956D59">
            <w:pPr>
              <w:pStyle w:val="40"/>
              <w:pageBreakBefore w:val="0"/>
              <w:kinsoku/>
              <w:wordWrap/>
              <w:overflowPunct/>
              <w:topLinePunct w:val="0"/>
              <w:autoSpaceDE/>
              <w:autoSpaceDN/>
              <w:bidi w:val="0"/>
              <w:adjustRightInd/>
              <w:snapToGrid/>
              <w:spacing w:line="560" w:lineRule="exact"/>
              <w:textAlignment w:val="auto"/>
            </w:pPr>
            <w:r>
              <w:rPr>
                <w:rFonts w:hint="eastAsia"/>
              </w:rPr>
              <w:t>数据分析的相关模块，可打开分析报表，或者执行各种系统级别的任务</w:t>
            </w:r>
          </w:p>
        </w:tc>
      </w:tr>
      <w:tr w14:paraId="59C4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restart"/>
            <w:shd w:val="clear" w:color="auto" w:fill="auto"/>
            <w:noWrap/>
            <w:vAlign w:val="center"/>
          </w:tcPr>
          <w:p w14:paraId="18B3D228">
            <w:pPr>
              <w:pStyle w:val="40"/>
              <w:pageBreakBefore w:val="0"/>
              <w:kinsoku/>
              <w:wordWrap/>
              <w:overflowPunct/>
              <w:topLinePunct w:val="0"/>
              <w:autoSpaceDE/>
              <w:autoSpaceDN/>
              <w:bidi w:val="0"/>
              <w:adjustRightInd/>
              <w:snapToGrid/>
              <w:spacing w:line="560" w:lineRule="exact"/>
              <w:textAlignment w:val="auto"/>
            </w:pPr>
            <w:r>
              <w:rPr>
                <w:rFonts w:hint="eastAsia"/>
              </w:rPr>
              <w:t>权限控制</w:t>
            </w:r>
          </w:p>
        </w:tc>
        <w:tc>
          <w:tcPr>
            <w:tcW w:w="1790" w:type="dxa"/>
            <w:shd w:val="clear" w:color="auto" w:fill="auto"/>
            <w:noWrap/>
            <w:vAlign w:val="center"/>
          </w:tcPr>
          <w:p w14:paraId="4F720C30">
            <w:pPr>
              <w:pStyle w:val="40"/>
              <w:pageBreakBefore w:val="0"/>
              <w:kinsoku/>
              <w:wordWrap/>
              <w:overflowPunct/>
              <w:topLinePunct w:val="0"/>
              <w:autoSpaceDE/>
              <w:autoSpaceDN/>
              <w:bidi w:val="0"/>
              <w:adjustRightInd/>
              <w:snapToGrid/>
              <w:spacing w:line="560" w:lineRule="exact"/>
              <w:textAlignment w:val="auto"/>
            </w:pPr>
            <w:r>
              <w:rPr>
                <w:rFonts w:hint="eastAsia"/>
              </w:rPr>
              <w:t>用户管理</w:t>
            </w:r>
          </w:p>
        </w:tc>
        <w:tc>
          <w:tcPr>
            <w:tcW w:w="5030" w:type="dxa"/>
            <w:shd w:val="clear" w:color="auto" w:fill="auto"/>
            <w:vAlign w:val="center"/>
          </w:tcPr>
          <w:p w14:paraId="0C0F50FB">
            <w:pPr>
              <w:pStyle w:val="40"/>
              <w:pageBreakBefore w:val="0"/>
              <w:kinsoku/>
              <w:wordWrap/>
              <w:overflowPunct/>
              <w:topLinePunct w:val="0"/>
              <w:autoSpaceDE/>
              <w:autoSpaceDN/>
              <w:bidi w:val="0"/>
              <w:adjustRightInd/>
              <w:snapToGrid/>
              <w:spacing w:line="560" w:lineRule="exact"/>
              <w:textAlignment w:val="auto"/>
            </w:pPr>
            <w:r>
              <w:rPr>
                <w:rFonts w:hint="eastAsia"/>
              </w:rPr>
              <w:t>维护用户信息</w:t>
            </w:r>
          </w:p>
        </w:tc>
      </w:tr>
      <w:tr w14:paraId="5FFD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01D0789D">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16210B44">
            <w:pPr>
              <w:pStyle w:val="40"/>
              <w:pageBreakBefore w:val="0"/>
              <w:kinsoku/>
              <w:wordWrap/>
              <w:overflowPunct/>
              <w:topLinePunct w:val="0"/>
              <w:autoSpaceDE/>
              <w:autoSpaceDN/>
              <w:bidi w:val="0"/>
              <w:adjustRightInd/>
              <w:snapToGrid/>
              <w:spacing w:line="560" w:lineRule="exact"/>
              <w:textAlignment w:val="auto"/>
            </w:pPr>
            <w:r>
              <w:rPr>
                <w:rFonts w:hint="eastAsia"/>
              </w:rPr>
              <w:t>权限管理</w:t>
            </w:r>
          </w:p>
        </w:tc>
        <w:tc>
          <w:tcPr>
            <w:tcW w:w="5030" w:type="dxa"/>
            <w:shd w:val="clear" w:color="auto" w:fill="auto"/>
            <w:vAlign w:val="center"/>
          </w:tcPr>
          <w:p w14:paraId="6D44FDFF">
            <w:pPr>
              <w:pStyle w:val="40"/>
              <w:pageBreakBefore w:val="0"/>
              <w:kinsoku/>
              <w:wordWrap/>
              <w:overflowPunct/>
              <w:topLinePunct w:val="0"/>
              <w:autoSpaceDE/>
              <w:autoSpaceDN/>
              <w:bidi w:val="0"/>
              <w:adjustRightInd/>
              <w:snapToGrid/>
              <w:spacing w:line="560" w:lineRule="exact"/>
              <w:textAlignment w:val="auto"/>
            </w:pPr>
            <w:r>
              <w:rPr>
                <w:rFonts w:hint="eastAsia"/>
              </w:rPr>
              <w:t>维护权限信息</w:t>
            </w:r>
          </w:p>
        </w:tc>
      </w:tr>
      <w:tr w14:paraId="45BB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6DFB8362">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33A1C88F">
            <w:pPr>
              <w:pStyle w:val="40"/>
              <w:pageBreakBefore w:val="0"/>
              <w:kinsoku/>
              <w:wordWrap/>
              <w:overflowPunct/>
              <w:topLinePunct w:val="0"/>
              <w:autoSpaceDE/>
              <w:autoSpaceDN/>
              <w:bidi w:val="0"/>
              <w:adjustRightInd/>
              <w:snapToGrid/>
              <w:spacing w:line="560" w:lineRule="exact"/>
              <w:textAlignment w:val="auto"/>
            </w:pPr>
            <w:r>
              <w:rPr>
                <w:rFonts w:hint="eastAsia"/>
              </w:rPr>
              <w:t>角色管理</w:t>
            </w:r>
          </w:p>
        </w:tc>
        <w:tc>
          <w:tcPr>
            <w:tcW w:w="5030" w:type="dxa"/>
            <w:shd w:val="clear" w:color="auto" w:fill="auto"/>
            <w:vAlign w:val="center"/>
          </w:tcPr>
          <w:p w14:paraId="68979842">
            <w:pPr>
              <w:pStyle w:val="40"/>
              <w:pageBreakBefore w:val="0"/>
              <w:kinsoku/>
              <w:wordWrap/>
              <w:overflowPunct/>
              <w:topLinePunct w:val="0"/>
              <w:autoSpaceDE/>
              <w:autoSpaceDN/>
              <w:bidi w:val="0"/>
              <w:adjustRightInd/>
              <w:snapToGrid/>
              <w:spacing w:line="560" w:lineRule="exact"/>
              <w:textAlignment w:val="auto"/>
            </w:pPr>
            <w:r>
              <w:rPr>
                <w:rFonts w:hint="eastAsia"/>
              </w:rPr>
              <w:t>维护角色信息</w:t>
            </w:r>
          </w:p>
        </w:tc>
      </w:tr>
      <w:tr w14:paraId="7B9F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72457E21">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04C9CE5F">
            <w:pPr>
              <w:pStyle w:val="40"/>
              <w:pageBreakBefore w:val="0"/>
              <w:kinsoku/>
              <w:wordWrap/>
              <w:overflowPunct/>
              <w:topLinePunct w:val="0"/>
              <w:autoSpaceDE/>
              <w:autoSpaceDN/>
              <w:bidi w:val="0"/>
              <w:adjustRightInd/>
              <w:snapToGrid/>
              <w:spacing w:line="560" w:lineRule="exact"/>
              <w:textAlignment w:val="auto"/>
            </w:pPr>
            <w:r>
              <w:rPr>
                <w:rFonts w:hint="eastAsia"/>
              </w:rPr>
              <w:t>菜单管理</w:t>
            </w:r>
          </w:p>
        </w:tc>
        <w:tc>
          <w:tcPr>
            <w:tcW w:w="5030" w:type="dxa"/>
            <w:shd w:val="clear" w:color="auto" w:fill="auto"/>
            <w:vAlign w:val="center"/>
          </w:tcPr>
          <w:p w14:paraId="046B4184">
            <w:pPr>
              <w:pStyle w:val="40"/>
              <w:pageBreakBefore w:val="0"/>
              <w:kinsoku/>
              <w:wordWrap/>
              <w:overflowPunct/>
              <w:topLinePunct w:val="0"/>
              <w:autoSpaceDE/>
              <w:autoSpaceDN/>
              <w:bidi w:val="0"/>
              <w:adjustRightInd/>
              <w:snapToGrid/>
              <w:spacing w:line="560" w:lineRule="exact"/>
              <w:textAlignment w:val="auto"/>
            </w:pPr>
            <w:r>
              <w:rPr>
                <w:rFonts w:hint="eastAsia"/>
              </w:rPr>
              <w:t>维护菜单信息</w:t>
            </w:r>
          </w:p>
        </w:tc>
      </w:tr>
      <w:tr w14:paraId="5477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00" w:type="dxa"/>
            <w:vMerge w:val="continue"/>
            <w:vAlign w:val="center"/>
          </w:tcPr>
          <w:p w14:paraId="41C7AB21">
            <w:pPr>
              <w:pStyle w:val="40"/>
              <w:pageBreakBefore w:val="0"/>
              <w:kinsoku/>
              <w:wordWrap/>
              <w:overflowPunct/>
              <w:topLinePunct w:val="0"/>
              <w:autoSpaceDE/>
              <w:autoSpaceDN/>
              <w:bidi w:val="0"/>
              <w:adjustRightInd/>
              <w:snapToGrid/>
              <w:spacing w:line="560" w:lineRule="exact"/>
              <w:textAlignment w:val="auto"/>
            </w:pPr>
          </w:p>
        </w:tc>
        <w:tc>
          <w:tcPr>
            <w:tcW w:w="1790" w:type="dxa"/>
            <w:shd w:val="clear" w:color="auto" w:fill="auto"/>
            <w:noWrap/>
            <w:vAlign w:val="center"/>
          </w:tcPr>
          <w:p w14:paraId="070B0E70">
            <w:pPr>
              <w:pStyle w:val="40"/>
              <w:pageBreakBefore w:val="0"/>
              <w:kinsoku/>
              <w:wordWrap/>
              <w:overflowPunct/>
              <w:topLinePunct w:val="0"/>
              <w:autoSpaceDE/>
              <w:autoSpaceDN/>
              <w:bidi w:val="0"/>
              <w:adjustRightInd/>
              <w:snapToGrid/>
              <w:spacing w:line="560" w:lineRule="exact"/>
              <w:textAlignment w:val="auto"/>
            </w:pPr>
            <w:r>
              <w:rPr>
                <w:rFonts w:hint="eastAsia"/>
              </w:rPr>
              <w:t>用户科室访问权限</w:t>
            </w:r>
          </w:p>
        </w:tc>
        <w:tc>
          <w:tcPr>
            <w:tcW w:w="5030" w:type="dxa"/>
            <w:shd w:val="clear" w:color="auto" w:fill="auto"/>
            <w:vAlign w:val="center"/>
          </w:tcPr>
          <w:p w14:paraId="243F1CCB">
            <w:pPr>
              <w:pStyle w:val="40"/>
              <w:pageBreakBefore w:val="0"/>
              <w:kinsoku/>
              <w:wordWrap/>
              <w:overflowPunct/>
              <w:topLinePunct w:val="0"/>
              <w:autoSpaceDE/>
              <w:autoSpaceDN/>
              <w:bidi w:val="0"/>
              <w:adjustRightInd/>
              <w:snapToGrid/>
              <w:spacing w:line="560" w:lineRule="exact"/>
              <w:textAlignment w:val="auto"/>
            </w:pPr>
            <w:r>
              <w:rPr>
                <w:rFonts w:hint="eastAsia"/>
              </w:rPr>
              <w:t>设置用户可在不同模块访问不同核算单元</w:t>
            </w:r>
          </w:p>
        </w:tc>
      </w:tr>
    </w:tbl>
    <w:p w14:paraId="4BB7236E">
      <w:pPr>
        <w:pStyle w:val="40"/>
        <w:pageBreakBefore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Theme="majorEastAsia" w:cstheme="minorBidi"/>
          <w:b/>
          <w:bCs/>
          <w:kern w:val="44"/>
          <w:sz w:val="32"/>
          <w:szCs w:val="44"/>
          <w:lang w:val="en-US" w:eastAsia="zh-CN" w:bidi="ar-SA"/>
        </w:rPr>
      </w:pPr>
      <w:r>
        <w:rPr>
          <w:rFonts w:hint="eastAsia" w:ascii="宋体" w:hAnsi="宋体" w:eastAsiaTheme="majorEastAsia" w:cstheme="minorBidi"/>
          <w:b/>
          <w:bCs/>
          <w:kern w:val="44"/>
          <w:sz w:val="32"/>
          <w:szCs w:val="44"/>
          <w:lang w:val="en-US" w:eastAsia="zh-CN" w:bidi="ar-SA"/>
        </w:rPr>
        <w:t>培训要求</w:t>
      </w:r>
    </w:p>
    <w:p w14:paraId="6CB3DA04">
      <w:pPr>
        <w:pageBreakBefore w:val="0"/>
        <w:kinsoku/>
        <w:wordWrap/>
        <w:overflowPunct/>
        <w:topLinePunct w:val="0"/>
        <w:autoSpaceDE/>
        <w:autoSpaceDN/>
        <w:bidi w:val="0"/>
        <w:adjustRightInd/>
        <w:snapToGrid/>
        <w:spacing w:line="560" w:lineRule="exact"/>
        <w:ind w:firstLine="480"/>
        <w:textAlignment w:val="auto"/>
      </w:pPr>
      <w:r>
        <w:rPr>
          <w:rFonts w:hint="eastAsia"/>
        </w:rPr>
        <w:t>1、系统管理员培训</w:t>
      </w:r>
    </w:p>
    <w:p w14:paraId="33FC31D7">
      <w:pPr>
        <w:pageBreakBefore w:val="0"/>
        <w:kinsoku/>
        <w:wordWrap/>
        <w:overflowPunct/>
        <w:topLinePunct w:val="0"/>
        <w:autoSpaceDE/>
        <w:autoSpaceDN/>
        <w:bidi w:val="0"/>
        <w:adjustRightInd/>
        <w:snapToGrid/>
        <w:spacing w:line="560" w:lineRule="exact"/>
        <w:ind w:firstLine="480"/>
        <w:textAlignment w:val="auto"/>
        <w:rPr>
          <w:rFonts w:hint="eastAsia"/>
        </w:rPr>
      </w:pPr>
      <w:r>
        <w:rPr>
          <w:rFonts w:hint="eastAsia"/>
        </w:rPr>
        <w:t>系统试运行期间，中标人负责为院方免费培训</w:t>
      </w:r>
      <w:r>
        <w:rPr>
          <w:rFonts w:hint="eastAsia"/>
          <w:lang w:val="en-US" w:eastAsia="zh-CN"/>
        </w:rPr>
        <w:t>至少2</w:t>
      </w:r>
      <w:r>
        <w:rPr>
          <w:rFonts w:hint="eastAsia"/>
        </w:rPr>
        <w:t>名系统维护人员，通过培训，使维护人员能熟练规范的进行操作，对一般故障能进行处理和日常维护。</w:t>
      </w:r>
    </w:p>
    <w:p w14:paraId="1AB2B475">
      <w:pPr>
        <w:pStyle w:val="5"/>
        <w:pageBreakBefore w:val="0"/>
        <w:kinsoku/>
        <w:wordWrap/>
        <w:overflowPunct/>
        <w:topLinePunct w:val="0"/>
        <w:autoSpaceDE/>
        <w:autoSpaceDN/>
        <w:bidi w:val="0"/>
        <w:adjustRightInd/>
        <w:snapToGrid/>
        <w:spacing w:line="560" w:lineRule="exact"/>
        <w:ind w:left="304" w:firstLine="240" w:firstLineChars="100"/>
        <w:textAlignment w:val="auto"/>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2、系统操作培训</w:t>
      </w:r>
    </w:p>
    <w:p w14:paraId="3D6F15E6">
      <w:pPr>
        <w:pageBreakBefore w:val="0"/>
        <w:kinsoku/>
        <w:wordWrap/>
        <w:overflowPunct/>
        <w:topLinePunct w:val="0"/>
        <w:autoSpaceDE/>
        <w:autoSpaceDN/>
        <w:bidi w:val="0"/>
        <w:adjustRightInd/>
        <w:snapToGrid/>
        <w:spacing w:line="560" w:lineRule="exact"/>
        <w:ind w:firstLine="480"/>
        <w:textAlignment w:val="auto"/>
        <w:rPr>
          <w:rFonts w:hint="default"/>
          <w:lang w:val="en-US" w:eastAsia="zh-CN"/>
        </w:rPr>
      </w:pPr>
      <w:r>
        <w:rPr>
          <w:sz w:val="24"/>
          <w:szCs w:val="24"/>
        </w:rPr>
        <w:t>对所有使用科室分批次现场培训，使操作人员熟练掌握操作流程。制定每个</w:t>
      </w:r>
      <w:r>
        <w:rPr>
          <w:spacing w:val="-1"/>
          <w:sz w:val="24"/>
          <w:szCs w:val="24"/>
        </w:rPr>
        <w:t>模块的操作手册，便于操作人员后期培训、学习使用。</w:t>
      </w:r>
    </w:p>
    <w:p w14:paraId="4C1C6246">
      <w:pPr>
        <w:pStyle w:val="2"/>
        <w:pageBreakBefore w:val="0"/>
        <w:numPr>
          <w:ilvl w:val="0"/>
          <w:numId w:val="2"/>
        </w:numPr>
        <w:kinsoku/>
        <w:wordWrap/>
        <w:overflowPunct/>
        <w:topLinePunct w:val="0"/>
        <w:autoSpaceDE/>
        <w:autoSpaceDN/>
        <w:bidi w:val="0"/>
        <w:adjustRightInd/>
        <w:snapToGrid/>
        <w:spacing w:before="0" w:after="0" w:line="560" w:lineRule="exact"/>
        <w:ind w:left="0" w:leftChars="0" w:firstLine="0" w:firstLineChars="0"/>
        <w:textAlignment w:val="auto"/>
        <w:rPr>
          <w:rFonts w:hint="eastAsia"/>
        </w:rPr>
      </w:pPr>
      <w:bookmarkStart w:id="16" w:name="_Toc54518049"/>
      <w:bookmarkStart w:id="17" w:name="_Toc148452623"/>
      <w:r>
        <w:rPr>
          <w:rFonts w:hint="eastAsia"/>
        </w:rPr>
        <w:t>售后服务要求</w:t>
      </w:r>
      <w:bookmarkEnd w:id="16"/>
      <w:bookmarkEnd w:id="17"/>
    </w:p>
    <w:p w14:paraId="301649C6">
      <w:pPr>
        <w:pStyle w:val="6"/>
        <w:pageBreakBefore w:val="0"/>
        <w:widowControl/>
        <w:numPr>
          <w:ilvl w:val="3"/>
          <w:numId w:val="0"/>
        </w:numPr>
        <w:kinsoku/>
        <w:wordWrap/>
        <w:overflowPunct/>
        <w:topLinePunct w:val="0"/>
        <w:autoSpaceDE/>
        <w:autoSpaceDN/>
        <w:bidi w:val="0"/>
        <w:adjustRightInd/>
        <w:snapToGrid/>
        <w:spacing w:before="0" w:beforeAutospacing="0" w:after="0" w:afterAutospacing="0" w:line="560" w:lineRule="exact"/>
        <w:ind w:left="0" w:leftChars="0" w:firstLine="482" w:firstLineChars="200"/>
        <w:textAlignment w:val="auto"/>
        <w:rPr>
          <w:rFonts w:hint="eastAsia" w:ascii="宋体" w:hAnsi="宋体" w:eastAsia="宋体" w:cs="宋体"/>
          <w:b/>
          <w:bCs w:val="0"/>
          <w:i w:val="0"/>
          <w:iCs w:val="0"/>
          <w:color w:val="000000" w:themeColor="text1"/>
          <w:sz w:val="24"/>
          <w:szCs w:val="24"/>
          <w14:textFill>
            <w14:solidFill>
              <w14:schemeClr w14:val="tx1"/>
            </w14:solidFill>
          </w14:textFill>
        </w:rPr>
      </w:pPr>
      <w:bookmarkStart w:id="18" w:name="响应时限"/>
      <w:r>
        <w:rPr>
          <w:rFonts w:hint="eastAsia" w:ascii="宋体" w:hAnsi="宋体" w:eastAsia="宋体" w:cs="宋体"/>
          <w:b/>
          <w:bCs w:val="0"/>
          <w:i w:val="0"/>
          <w:iCs w:val="0"/>
          <w:color w:val="000000" w:themeColor="text1"/>
          <w:sz w:val="24"/>
          <w:szCs w:val="24"/>
          <w14:textFill>
            <w14:solidFill>
              <w14:schemeClr w14:val="tx1"/>
            </w14:solidFill>
          </w14:textFill>
        </w:rPr>
        <w:t>1. 响应时限</w:t>
      </w:r>
    </w:p>
    <w:p w14:paraId="6F371ABF">
      <w:pPr>
        <w:pStyle w:val="65"/>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482"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14:textFill>
            <w14:solidFill>
              <w14:schemeClr w14:val="tx1"/>
            </w14:solidFill>
          </w14:textFill>
        </w:rPr>
        <w:t>紧急问题</w:t>
      </w:r>
      <w:r>
        <w:rPr>
          <w:rFonts w:hint="eastAsia" w:ascii="宋体" w:hAnsi="宋体" w:eastAsia="宋体" w:cs="宋体"/>
          <w:i w:val="0"/>
          <w:iCs w:val="0"/>
          <w:color w:val="000000" w:themeColor="text1"/>
          <w:sz w:val="24"/>
          <w:szCs w:val="24"/>
          <w14:textFill>
            <w14:solidFill>
              <w14:schemeClr w14:val="tx1"/>
            </w14:solidFill>
          </w14:textFill>
        </w:rPr>
        <w:t>（系统崩溃、数据丢失）：15分钟内响应，2小时内提供解决方案</w:t>
      </w:r>
      <w:r>
        <w:rPr>
          <w:rFonts w:hint="eastAsia" w:ascii="宋体" w:hAnsi="宋体" w:eastAsia="宋体" w:cs="宋体"/>
          <w:i w:val="0"/>
          <w:iCs w:val="0"/>
          <w:color w:val="000000" w:themeColor="text1"/>
          <w:sz w:val="24"/>
          <w:szCs w:val="24"/>
          <w:lang w:eastAsia="zh-CN"/>
          <w14:textFill>
            <w14:solidFill>
              <w14:schemeClr w14:val="tx1"/>
            </w14:solidFill>
          </w14:textFill>
        </w:rPr>
        <w:t>，</w:t>
      </w:r>
      <w:r>
        <w:rPr>
          <w:rFonts w:hint="eastAsia" w:ascii="宋体" w:hAnsi="宋体" w:eastAsia="宋体" w:cs="宋体"/>
          <w:i w:val="0"/>
          <w:iCs w:val="0"/>
          <w:color w:val="FF0000"/>
          <w:sz w:val="24"/>
          <w:szCs w:val="24"/>
        </w:rPr>
        <w:t>72小时</w:t>
      </w:r>
      <w:r>
        <w:rPr>
          <w:rFonts w:hint="eastAsia" w:ascii="宋体" w:hAnsi="宋体" w:eastAsia="宋体" w:cs="宋体"/>
          <w:i w:val="0"/>
          <w:iCs w:val="0"/>
          <w:color w:val="FF0000"/>
          <w:sz w:val="24"/>
          <w:szCs w:val="24"/>
          <w:lang w:val="en-US" w:eastAsia="zh-CN"/>
        </w:rPr>
        <w:t>内</w:t>
      </w:r>
      <w:r>
        <w:rPr>
          <w:rFonts w:hint="eastAsia" w:ascii="宋体" w:hAnsi="宋体" w:eastAsia="宋体" w:cs="宋体"/>
          <w:i w:val="0"/>
          <w:iCs w:val="0"/>
          <w:color w:val="FF0000"/>
          <w:sz w:val="24"/>
          <w:szCs w:val="24"/>
        </w:rPr>
        <w:t>必须</w:t>
      </w:r>
      <w:r>
        <w:rPr>
          <w:rFonts w:hint="eastAsia" w:ascii="宋体" w:hAnsi="宋体" w:eastAsia="宋体" w:cs="宋体"/>
          <w:i w:val="0"/>
          <w:iCs w:val="0"/>
          <w:color w:val="FF0000"/>
          <w:sz w:val="24"/>
          <w:szCs w:val="24"/>
          <w:lang w:val="en-US" w:eastAsia="zh-CN"/>
        </w:rPr>
        <w:t>修复</w:t>
      </w:r>
      <w:r>
        <w:rPr>
          <w:rFonts w:hint="eastAsia" w:ascii="宋体" w:hAnsi="宋体" w:eastAsia="宋体" w:cs="宋体"/>
          <w:i w:val="0"/>
          <w:iCs w:val="0"/>
          <w:color w:val="000000" w:themeColor="text1"/>
          <w:sz w:val="24"/>
          <w:szCs w:val="24"/>
          <w14:textFill>
            <w14:solidFill>
              <w14:schemeClr w14:val="tx1"/>
            </w14:solidFill>
          </w14:textFill>
        </w:rPr>
        <w:t>。</w:t>
      </w:r>
    </w:p>
    <w:p w14:paraId="49622D87">
      <w:pPr>
        <w:pStyle w:val="65"/>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482"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14:textFill>
            <w14:solidFill>
              <w14:schemeClr w14:val="tx1"/>
            </w14:solidFill>
          </w14:textFill>
        </w:rPr>
        <w:t>严重问题</w:t>
      </w:r>
      <w:r>
        <w:rPr>
          <w:rFonts w:hint="eastAsia" w:ascii="宋体" w:hAnsi="宋体" w:eastAsia="宋体" w:cs="宋体"/>
          <w:i w:val="0"/>
          <w:iCs w:val="0"/>
          <w:color w:val="000000" w:themeColor="text1"/>
          <w:sz w:val="24"/>
          <w:szCs w:val="24"/>
          <w14:textFill>
            <w14:solidFill>
              <w14:schemeClr w14:val="tx1"/>
            </w14:solidFill>
          </w14:textFill>
        </w:rPr>
        <w:t>（功能不可用）：</w:t>
      </w:r>
      <w:r>
        <w:rPr>
          <w:rFonts w:hint="eastAsia" w:ascii="宋体" w:hAnsi="宋体" w:eastAsia="宋体" w:cs="宋体"/>
          <w:i w:val="0"/>
          <w:iCs w:val="0"/>
          <w:color w:val="000000" w:themeColor="text1"/>
          <w:sz w:val="24"/>
          <w:szCs w:val="24"/>
          <w:lang w:val="en-US" w:eastAsia="zh-CN"/>
          <w14:textFill>
            <w14:solidFill>
              <w14:schemeClr w14:val="tx1"/>
            </w14:solidFill>
          </w14:textFill>
        </w:rPr>
        <w:t>15</w:t>
      </w:r>
      <w:r>
        <w:rPr>
          <w:rFonts w:hint="eastAsia" w:ascii="宋体" w:hAnsi="宋体" w:eastAsia="宋体" w:cs="宋体"/>
          <w:i w:val="0"/>
          <w:iCs w:val="0"/>
          <w:color w:val="000000" w:themeColor="text1"/>
          <w:sz w:val="24"/>
          <w:szCs w:val="24"/>
          <w14:textFill>
            <w14:solidFill>
              <w14:schemeClr w14:val="tx1"/>
            </w14:solidFill>
          </w14:textFill>
        </w:rPr>
        <w:t>分钟内响应，</w:t>
      </w:r>
      <w:r>
        <w:rPr>
          <w:rFonts w:hint="eastAsia" w:ascii="宋体" w:hAnsi="宋体" w:eastAsia="宋体" w:cs="宋体"/>
          <w:i w:val="0"/>
          <w:iCs w:val="0"/>
          <w:color w:val="000000" w:themeColor="text1"/>
          <w:sz w:val="24"/>
          <w:szCs w:val="24"/>
          <w:lang w:val="en-US" w:eastAsia="zh-CN"/>
          <w14:textFill>
            <w14:solidFill>
              <w14:schemeClr w14:val="tx1"/>
            </w14:solidFill>
          </w14:textFill>
        </w:rPr>
        <w:t>8</w:t>
      </w:r>
      <w:r>
        <w:rPr>
          <w:rFonts w:hint="eastAsia" w:ascii="宋体" w:hAnsi="宋体" w:eastAsia="宋体" w:cs="宋体"/>
          <w:i w:val="0"/>
          <w:iCs w:val="0"/>
          <w:color w:val="000000" w:themeColor="text1"/>
          <w:sz w:val="24"/>
          <w:szCs w:val="24"/>
          <w14:textFill>
            <w14:solidFill>
              <w14:schemeClr w14:val="tx1"/>
            </w14:solidFill>
          </w14:textFill>
        </w:rPr>
        <w:t>小时内修复。</w:t>
      </w:r>
    </w:p>
    <w:p w14:paraId="765F8DFA">
      <w:pPr>
        <w:pStyle w:val="65"/>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482"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14:textFill>
            <w14:solidFill>
              <w14:schemeClr w14:val="tx1"/>
            </w14:solidFill>
          </w14:textFill>
        </w:rPr>
        <w:t>一般问题</w:t>
      </w:r>
      <w:r>
        <w:rPr>
          <w:rFonts w:hint="eastAsia" w:ascii="宋体" w:hAnsi="宋体" w:eastAsia="宋体" w:cs="宋体"/>
          <w:i w:val="0"/>
          <w:iCs w:val="0"/>
          <w:color w:val="000000" w:themeColor="text1"/>
          <w:sz w:val="24"/>
          <w:szCs w:val="24"/>
          <w14:textFill>
            <w14:solidFill>
              <w14:schemeClr w14:val="tx1"/>
            </w14:solidFill>
          </w14:textFill>
        </w:rPr>
        <w:t>（功能异常或优化需求）：1小时内响应，24小时内提供方案</w:t>
      </w:r>
      <w:r>
        <w:rPr>
          <w:rFonts w:hint="eastAsia" w:ascii="宋体" w:hAnsi="宋体" w:eastAsia="宋体" w:cs="宋体"/>
          <w:i w:val="0"/>
          <w:iCs w:val="0"/>
          <w:color w:val="000000" w:themeColor="text1"/>
          <w:sz w:val="24"/>
          <w:szCs w:val="24"/>
          <w:lang w:val="en-US" w:eastAsia="zh-CN"/>
          <w14:textFill>
            <w14:solidFill>
              <w14:schemeClr w14:val="tx1"/>
            </w14:solidFill>
          </w14:textFill>
        </w:rPr>
        <w:t>并解决</w:t>
      </w:r>
      <w:r>
        <w:rPr>
          <w:rFonts w:hint="eastAsia" w:ascii="宋体" w:hAnsi="宋体" w:eastAsia="宋体" w:cs="宋体"/>
          <w:i w:val="0"/>
          <w:iCs w:val="0"/>
          <w:color w:val="000000" w:themeColor="text1"/>
          <w:sz w:val="24"/>
          <w:szCs w:val="24"/>
          <w14:textFill>
            <w14:solidFill>
              <w14:schemeClr w14:val="tx1"/>
            </w14:solidFill>
          </w14:textFill>
        </w:rPr>
        <w:t>。</w:t>
      </w:r>
    </w:p>
    <w:bookmarkEnd w:id="18"/>
    <w:p w14:paraId="1A2EF088">
      <w:pPr>
        <w:pStyle w:val="6"/>
        <w:pageBreakBefore w:val="0"/>
        <w:widowControl/>
        <w:numPr>
          <w:ilvl w:val="3"/>
          <w:numId w:val="0"/>
        </w:numPr>
        <w:kinsoku/>
        <w:wordWrap/>
        <w:overflowPunct/>
        <w:topLinePunct w:val="0"/>
        <w:autoSpaceDE/>
        <w:autoSpaceDN/>
        <w:bidi w:val="0"/>
        <w:adjustRightInd/>
        <w:snapToGrid/>
        <w:spacing w:before="0" w:beforeAutospacing="0" w:after="0" w:afterAutospacing="0" w:line="560" w:lineRule="exact"/>
        <w:ind w:left="0" w:leftChars="0" w:firstLine="482" w:firstLineChars="200"/>
        <w:textAlignment w:val="auto"/>
        <w:rPr>
          <w:rFonts w:hint="eastAsia" w:ascii="宋体" w:hAnsi="宋体" w:eastAsia="宋体" w:cs="宋体"/>
          <w:b/>
          <w:bCs w:val="0"/>
          <w:i w:val="0"/>
          <w:iCs w:val="0"/>
          <w:color w:val="000000" w:themeColor="text1"/>
          <w:sz w:val="24"/>
          <w:szCs w:val="24"/>
          <w14:textFill>
            <w14:solidFill>
              <w14:schemeClr w14:val="tx1"/>
            </w14:solidFill>
          </w14:textFill>
        </w:rPr>
      </w:pPr>
      <w:bookmarkStart w:id="19" w:name="服务保障措施"/>
      <w:r>
        <w:rPr>
          <w:rFonts w:hint="eastAsia" w:ascii="宋体" w:hAnsi="宋体" w:eastAsia="宋体" w:cs="宋体"/>
          <w:b/>
          <w:bCs w:val="0"/>
          <w:i w:val="0"/>
          <w:iCs w:val="0"/>
          <w:color w:val="000000" w:themeColor="text1"/>
          <w:sz w:val="24"/>
          <w:szCs w:val="24"/>
          <w14:textFill>
            <w14:solidFill>
              <w14:schemeClr w14:val="tx1"/>
            </w14:solidFill>
          </w14:textFill>
        </w:rPr>
        <w:t>2. 服务保障措施</w:t>
      </w:r>
    </w:p>
    <w:p w14:paraId="7A345611">
      <w:pPr>
        <w:pStyle w:val="65"/>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480"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提供7×24小时技术支持热线及专属运维团队。</w:t>
      </w:r>
    </w:p>
    <w:p w14:paraId="7C0D515D">
      <w:pPr>
        <w:pStyle w:val="65"/>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480"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定期巡检：每月至少1次系统健康检查，提交巡检报告。</w:t>
      </w:r>
    </w:p>
    <w:p w14:paraId="046A3E9B">
      <w:pPr>
        <w:pStyle w:val="65"/>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480"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知识转移：项目验收后提供技术培训及完整文档（含系统操作手册、API接口文档</w:t>
      </w:r>
      <w:r>
        <w:rPr>
          <w:rFonts w:hint="eastAsia" w:ascii="宋体" w:hAnsi="宋体" w:eastAsia="宋体" w:cs="宋体"/>
          <w:i w:val="0"/>
          <w:iCs w:val="0"/>
          <w:color w:val="000000" w:themeColor="text1"/>
          <w:sz w:val="24"/>
          <w:szCs w:val="24"/>
          <w:lang w:eastAsia="zh-CN"/>
          <w14:textFill>
            <w14:solidFill>
              <w14:schemeClr w14:val="tx1"/>
            </w14:solidFill>
          </w14:textFill>
        </w:rPr>
        <w:t>、</w:t>
      </w:r>
      <w:r>
        <w:rPr>
          <w:rFonts w:hint="eastAsia" w:ascii="宋体" w:hAnsi="宋体" w:eastAsia="宋体" w:cs="宋体"/>
          <w:i w:val="0"/>
          <w:iCs w:val="0"/>
          <w:color w:val="000000" w:themeColor="text1"/>
          <w:sz w:val="24"/>
          <w:szCs w:val="24"/>
          <w:lang w:val="en-US" w:eastAsia="zh-CN"/>
          <w14:textFill>
            <w14:solidFill>
              <w14:schemeClr w14:val="tx1"/>
            </w14:solidFill>
          </w14:textFill>
        </w:rPr>
        <w:t>需求变更过程文档等</w:t>
      </w:r>
      <w:r>
        <w:rPr>
          <w:rFonts w:hint="eastAsia" w:ascii="宋体" w:hAnsi="宋体" w:eastAsia="宋体" w:cs="宋体"/>
          <w:i w:val="0"/>
          <w:iCs w:val="0"/>
          <w:color w:val="000000" w:themeColor="text1"/>
          <w:sz w:val="24"/>
          <w:szCs w:val="24"/>
          <w14:textFill>
            <w14:solidFill>
              <w14:schemeClr w14:val="tx1"/>
            </w14:solidFill>
          </w14:textFill>
        </w:rPr>
        <w:t>）。</w:t>
      </w:r>
    </w:p>
    <w:bookmarkEnd w:id="19"/>
    <w:p w14:paraId="41450E64">
      <w:pPr>
        <w:pStyle w:val="6"/>
        <w:pageBreakBefore w:val="0"/>
        <w:widowControl/>
        <w:numPr>
          <w:ilvl w:val="3"/>
          <w:numId w:val="0"/>
        </w:numPr>
        <w:kinsoku/>
        <w:wordWrap/>
        <w:overflowPunct/>
        <w:topLinePunct w:val="0"/>
        <w:autoSpaceDE/>
        <w:autoSpaceDN/>
        <w:bidi w:val="0"/>
        <w:adjustRightInd/>
        <w:snapToGrid/>
        <w:spacing w:before="0" w:beforeAutospacing="0" w:after="0" w:afterAutospacing="0" w:line="560" w:lineRule="exact"/>
        <w:ind w:left="0" w:leftChars="0" w:firstLine="482" w:firstLineChars="200"/>
        <w:textAlignment w:val="auto"/>
        <w:rPr>
          <w:rFonts w:hint="eastAsia" w:ascii="宋体" w:hAnsi="宋体" w:eastAsia="宋体" w:cs="宋体"/>
          <w:b/>
          <w:bCs w:val="0"/>
          <w:i w:val="0"/>
          <w:iCs w:val="0"/>
          <w:color w:val="000000" w:themeColor="text1"/>
          <w:sz w:val="24"/>
          <w:szCs w:val="24"/>
          <w14:textFill>
            <w14:solidFill>
              <w14:schemeClr w14:val="tx1"/>
            </w14:solidFill>
          </w14:textFill>
        </w:rPr>
      </w:pPr>
      <w:bookmarkStart w:id="20" w:name="应急方案"/>
      <w:r>
        <w:rPr>
          <w:rFonts w:hint="eastAsia" w:ascii="宋体" w:hAnsi="宋体" w:eastAsia="宋体" w:cs="宋体"/>
          <w:b/>
          <w:bCs w:val="0"/>
          <w:i w:val="0"/>
          <w:iCs w:val="0"/>
          <w:color w:val="000000" w:themeColor="text1"/>
          <w:sz w:val="24"/>
          <w:szCs w:val="24"/>
          <w14:textFill>
            <w14:solidFill>
              <w14:schemeClr w14:val="tx1"/>
            </w14:solidFill>
          </w14:textFill>
        </w:rPr>
        <w:t>3. 应急方案</w:t>
      </w:r>
    </w:p>
    <w:p w14:paraId="41FC4374">
      <w:pPr>
        <w:pStyle w:val="65"/>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482"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14:textFill>
            <w14:solidFill>
              <w14:schemeClr w14:val="tx1"/>
            </w14:solidFill>
          </w14:textFill>
        </w:rPr>
        <w:t>故障分级处理</w:t>
      </w:r>
      <w:r>
        <w:rPr>
          <w:rFonts w:hint="eastAsia" w:ascii="宋体" w:hAnsi="宋体" w:eastAsia="宋体" w:cs="宋体"/>
          <w:i w:val="0"/>
          <w:iCs w:val="0"/>
          <w:color w:val="000000" w:themeColor="text1"/>
          <w:sz w:val="24"/>
          <w:szCs w:val="24"/>
          <w14:textFill>
            <w14:solidFill>
              <w14:schemeClr w14:val="tx1"/>
            </w14:solidFill>
          </w14:textFill>
        </w:rPr>
        <w:t>：根据影响范围分为P0-P3级，明确各级别处理流程。</w:t>
      </w:r>
    </w:p>
    <w:p w14:paraId="75E83D2B">
      <w:pPr>
        <w:pStyle w:val="65"/>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482" w:firstLineChars="20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14:textFill>
            <w14:solidFill>
              <w14:schemeClr w14:val="tx1"/>
            </w14:solidFill>
          </w14:textFill>
        </w:rPr>
        <w:t>数据恢复</w:t>
      </w:r>
      <w:r>
        <w:rPr>
          <w:rFonts w:hint="eastAsia" w:ascii="宋体" w:hAnsi="宋体" w:eastAsia="宋体" w:cs="宋体"/>
          <w:i w:val="0"/>
          <w:iCs w:val="0"/>
          <w:color w:val="000000" w:themeColor="text1"/>
          <w:sz w:val="24"/>
          <w:szCs w:val="24"/>
          <w14:textFill>
            <w14:solidFill>
              <w14:schemeClr w14:val="tx1"/>
            </w14:solidFill>
          </w14:textFill>
        </w:rPr>
        <w:t>：</w:t>
      </w:r>
      <w:r>
        <w:rPr>
          <w:rFonts w:hint="default" w:ascii="宋体" w:hAnsi="宋体" w:eastAsia="宋体" w:cs="宋体"/>
          <w:i w:val="0"/>
          <w:iCs w:val="0"/>
          <w:color w:val="000000" w:themeColor="text1"/>
          <w:sz w:val="24"/>
          <w:szCs w:val="24"/>
          <w:lang w:val="en-US"/>
          <w14:textFill>
            <w14:solidFill>
              <w14:schemeClr w14:val="tx1"/>
            </w14:solidFill>
          </w14:textFill>
        </w:rPr>
        <w:t>数据库系统能够每天进行自动备份，备份策略灵活可配置，备份数据存储在安全的位置。在发生数据丢失或系统故障时，能够在较短的时间内（如几小时内）完成数据恢复，确保系统的连续性和数据的安全性。例如，支持差异备份、增量备份和完全备份等多种备份方式，恢复过程简单快捷，无需复杂的操作</w:t>
      </w:r>
      <w:r>
        <w:rPr>
          <w:rFonts w:hint="eastAsia" w:ascii="宋体" w:hAnsi="宋体" w:eastAsia="宋体" w:cs="宋体"/>
          <w:i w:val="0"/>
          <w:iCs w:val="0"/>
          <w:color w:val="000000" w:themeColor="text1"/>
          <w:sz w:val="24"/>
          <w:szCs w:val="24"/>
          <w14:textFill>
            <w14:solidFill>
              <w14:schemeClr w14:val="tx1"/>
            </w14:solidFill>
          </w14:textFill>
        </w:rPr>
        <w:t>。</w:t>
      </w:r>
    </w:p>
    <w:bookmarkEnd w:id="20"/>
    <w:p w14:paraId="649DF3CD">
      <w:pPr>
        <w:pStyle w:val="6"/>
        <w:pageBreakBefore w:val="0"/>
        <w:widowControl/>
        <w:numPr>
          <w:ilvl w:val="3"/>
          <w:numId w:val="0"/>
        </w:numPr>
        <w:kinsoku/>
        <w:wordWrap/>
        <w:overflowPunct/>
        <w:topLinePunct w:val="0"/>
        <w:autoSpaceDE/>
        <w:autoSpaceDN/>
        <w:bidi w:val="0"/>
        <w:adjustRightInd/>
        <w:snapToGrid/>
        <w:spacing w:before="0" w:beforeAutospacing="0" w:after="0" w:afterAutospacing="0" w:line="560" w:lineRule="exact"/>
        <w:ind w:left="0" w:leftChars="0" w:firstLine="482" w:firstLineChars="200"/>
        <w:textAlignment w:val="auto"/>
        <w:rPr>
          <w:rFonts w:hint="eastAsia" w:ascii="宋体" w:hAnsi="宋体" w:eastAsia="宋体" w:cs="宋体"/>
          <w:b/>
          <w:bCs w:val="0"/>
          <w:i w:val="0"/>
          <w:iCs w:val="0"/>
          <w:color w:val="000000" w:themeColor="text1"/>
          <w:sz w:val="24"/>
          <w:szCs w:val="24"/>
          <w14:textFill>
            <w14:solidFill>
              <w14:schemeClr w14:val="tx1"/>
            </w14:solidFill>
          </w14:textFill>
        </w:rPr>
      </w:pPr>
      <w:bookmarkStart w:id="21" w:name="服务期限"/>
      <w:r>
        <w:rPr>
          <w:rFonts w:hint="eastAsia" w:ascii="宋体" w:hAnsi="宋体" w:eastAsia="宋体" w:cs="宋体"/>
          <w:b/>
          <w:bCs w:val="0"/>
          <w:i w:val="0"/>
          <w:iCs w:val="0"/>
          <w:color w:val="000000" w:themeColor="text1"/>
          <w:sz w:val="24"/>
          <w:szCs w:val="24"/>
          <w14:textFill>
            <w14:solidFill>
              <w14:schemeClr w14:val="tx1"/>
            </w14:solidFill>
          </w14:textFill>
        </w:rPr>
        <w:t xml:space="preserve">4. </w:t>
      </w:r>
      <w:bookmarkEnd w:id="21"/>
      <w:bookmarkStart w:id="22" w:name="验收标准"/>
      <w:r>
        <w:rPr>
          <w:rFonts w:hint="eastAsia" w:ascii="宋体" w:hAnsi="宋体" w:eastAsia="宋体" w:cs="宋体"/>
          <w:b/>
          <w:bCs w:val="0"/>
          <w:i w:val="0"/>
          <w:iCs w:val="0"/>
          <w:color w:val="000000" w:themeColor="text1"/>
          <w:sz w:val="24"/>
          <w:szCs w:val="24"/>
          <w14:textFill>
            <w14:solidFill>
              <w14:schemeClr w14:val="tx1"/>
            </w14:solidFill>
          </w14:textFill>
        </w:rPr>
        <w:t>验收标准</w:t>
      </w:r>
    </w:p>
    <w:p w14:paraId="5BA29D81">
      <w:pPr>
        <w:pStyle w:val="65"/>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提供完整的</w:t>
      </w:r>
      <w:r>
        <w:rPr>
          <w:rFonts w:hint="eastAsia" w:ascii="宋体" w:hAnsi="宋体" w:eastAsia="宋体" w:cs="宋体"/>
          <w:i w:val="0"/>
          <w:iCs w:val="0"/>
          <w:color w:val="000000" w:themeColor="text1"/>
          <w:sz w:val="24"/>
          <w:szCs w:val="24"/>
          <w:lang w:val="en-US" w:eastAsia="zh-CN"/>
          <w14:textFill>
            <w14:solidFill>
              <w14:schemeClr w14:val="tx1"/>
            </w14:solidFill>
          </w14:textFill>
        </w:rPr>
        <w:t>需求变更过程文档、</w:t>
      </w:r>
      <w:r>
        <w:rPr>
          <w:rFonts w:hint="eastAsia" w:ascii="宋体" w:hAnsi="宋体" w:eastAsia="宋体" w:cs="宋体"/>
          <w:i w:val="0"/>
          <w:iCs w:val="0"/>
          <w:color w:val="000000" w:themeColor="text1"/>
          <w:sz w:val="24"/>
          <w:szCs w:val="24"/>
          <w14:textFill>
            <w14:solidFill>
              <w14:schemeClr w14:val="tx1"/>
            </w14:solidFill>
          </w14:textFill>
        </w:rPr>
        <w:t>测试用例</w:t>
      </w:r>
      <w:r>
        <w:rPr>
          <w:rFonts w:hint="eastAsia" w:ascii="宋体" w:hAnsi="宋体" w:eastAsia="宋体" w:cs="宋体"/>
          <w:i w:val="0"/>
          <w:iCs w:val="0"/>
          <w:color w:val="000000" w:themeColor="text1"/>
          <w:sz w:val="24"/>
          <w:szCs w:val="24"/>
          <w:lang w:val="en-US" w:eastAsia="zh-CN"/>
          <w14:textFill>
            <w14:solidFill>
              <w14:schemeClr w14:val="tx1"/>
            </w14:solidFill>
          </w14:textFill>
        </w:rPr>
        <w:t>文档</w:t>
      </w:r>
      <w:r>
        <w:rPr>
          <w:rFonts w:hint="eastAsia" w:ascii="宋体" w:hAnsi="宋体" w:eastAsia="宋体" w:cs="宋体"/>
          <w:i w:val="0"/>
          <w:iCs w:val="0"/>
          <w:color w:val="000000" w:themeColor="text1"/>
          <w:sz w:val="24"/>
          <w:szCs w:val="24"/>
          <w14:textFill>
            <w14:solidFill>
              <w14:schemeClr w14:val="tx1"/>
            </w14:solidFill>
          </w14:textFill>
        </w:rPr>
        <w:t>及用户手册</w:t>
      </w:r>
      <w:r>
        <w:rPr>
          <w:rFonts w:hint="eastAsia" w:ascii="宋体" w:hAnsi="宋体" w:eastAsia="宋体" w:cs="宋体"/>
          <w:i w:val="0"/>
          <w:iCs w:val="0"/>
          <w:color w:val="000000" w:themeColor="text1"/>
          <w:sz w:val="24"/>
          <w:szCs w:val="24"/>
          <w:lang w:val="en-US" w:eastAsia="zh-CN"/>
          <w14:textFill>
            <w14:solidFill>
              <w14:schemeClr w14:val="tx1"/>
            </w14:solidFill>
          </w14:textFill>
        </w:rPr>
        <w:t>等</w:t>
      </w:r>
      <w:r>
        <w:rPr>
          <w:rFonts w:hint="eastAsia" w:ascii="宋体" w:hAnsi="宋体" w:eastAsia="宋体" w:cs="宋体"/>
          <w:i w:val="0"/>
          <w:iCs w:val="0"/>
          <w:color w:val="000000" w:themeColor="text1"/>
          <w:sz w:val="24"/>
          <w:szCs w:val="24"/>
          <w14:textFill>
            <w14:solidFill>
              <w14:schemeClr w14:val="tx1"/>
            </w14:solidFill>
          </w14:textFill>
        </w:rPr>
        <w:t>，修复所有已知缺陷后方可验收。</w:t>
      </w:r>
      <w:bookmarkEnd w:id="22"/>
    </w:p>
    <w:p w14:paraId="2B22FF47">
      <w:pPr>
        <w:pStyle w:val="2"/>
        <w:pageBreakBefore w:val="0"/>
        <w:numPr>
          <w:ilvl w:val="0"/>
          <w:numId w:val="0"/>
        </w:numPr>
        <w:kinsoku/>
        <w:wordWrap/>
        <w:overflowPunct/>
        <w:topLinePunct w:val="0"/>
        <w:autoSpaceDE/>
        <w:autoSpaceDN/>
        <w:bidi w:val="0"/>
        <w:adjustRightInd/>
        <w:snapToGrid/>
        <w:spacing w:before="0" w:after="0" w:line="560" w:lineRule="exact"/>
        <w:textAlignment w:val="auto"/>
        <w:rPr>
          <w:color w:val="000000" w:themeColor="text1"/>
          <w14:textFill>
            <w14:solidFill>
              <w14:schemeClr w14:val="tx1"/>
            </w14:solidFill>
          </w14:textFill>
        </w:rPr>
      </w:pPr>
      <w:bookmarkStart w:id="23" w:name="_Toc148452624"/>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、项目实施要求</w:t>
      </w:r>
      <w:bookmarkEnd w:id="23"/>
    </w:p>
    <w:p w14:paraId="07A93BDF">
      <w:pPr>
        <w:pageBreakBefore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实施周期：本项目实施周期为6-8个月，供应商应提供绩效业务咨询服务和软件系统的实施方案，以及实施组织、安装调试、管理办法和应急方案等。</w:t>
      </w:r>
    </w:p>
    <w:p w14:paraId="4D93DC70">
      <w:pPr>
        <w:pageBreakBefore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default"/>
          <w:color w:val="auto"/>
          <w:lang w:val="en-US" w:eastAsia="zh-CN"/>
        </w:rPr>
      </w:pPr>
      <w:r>
        <w:rPr>
          <w:rFonts w:hint="eastAsia"/>
          <w:color w:val="auto"/>
          <w:lang w:val="en-US" w:eastAsia="zh-CN"/>
        </w:rPr>
        <w:t>实施团队：要求派遣具有丰富实施经验的项目经理,该项目经理任职时长大于 5 年，并且有具有类似项目实施经验。实施团队成员不少于3人，骨干成员不少于2人，且骨干成员实施经验不小于3年。</w:t>
      </w:r>
    </w:p>
    <w:p w14:paraId="0E4B9403">
      <w:pPr>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color w:val="000000" w:themeColor="text1"/>
          <w:highlight w:val="none"/>
          <w:lang w:eastAsia="zh-CN"/>
          <w14:textFill>
            <w14:solidFill>
              <w14:schemeClr w14:val="tx1"/>
            </w14:solidFill>
          </w14:textFill>
        </w:rPr>
      </w:pPr>
      <w:r>
        <w:rPr>
          <w:rFonts w:hint="eastAsia"/>
          <w:color w:val="auto"/>
          <w:lang w:eastAsia="zh-CN"/>
        </w:rPr>
        <w:t>报价要求：</w:t>
      </w:r>
      <w:r>
        <w:rPr>
          <w:rFonts w:hint="eastAsia"/>
          <w:color w:val="auto"/>
          <w:highlight w:val="none"/>
          <w:lang w:eastAsia="zh-CN"/>
        </w:rPr>
        <w:t>最终报价为完成本项目和履行本项目合同所需的一切费用， 包含本项目软件开发费用以及所涉及的与第三方系统的接口开发费用、软件配套所需的所有硬件设施设备费用（</w:t>
      </w:r>
      <w:r>
        <w:rPr>
          <w:rFonts w:hint="eastAsia"/>
          <w:color w:val="auto"/>
          <w:highlight w:val="none"/>
          <w:lang w:val="en-US" w:eastAsia="zh-CN"/>
        </w:rPr>
        <w:t>包括不限于服务器等设备</w:t>
      </w:r>
      <w:r>
        <w:rPr>
          <w:rFonts w:hint="eastAsia"/>
          <w:color w:val="auto"/>
          <w:highlight w:val="none"/>
          <w:lang w:eastAsia="zh-CN"/>
        </w:rPr>
        <w:t>）以及货物</w:t>
      </w:r>
      <w:r>
        <w:rPr>
          <w:rFonts w:hint="eastAsia"/>
          <w:color w:val="000000" w:themeColor="text1"/>
          <w:highlight w:val="none"/>
          <w:lang w:eastAsia="zh-CN"/>
          <w14:textFill>
            <w14:solidFill>
              <w14:schemeClr w14:val="tx1"/>
            </w14:solidFill>
          </w14:textFill>
        </w:rPr>
        <w:t>成本、运输、安装、调试、人工、培训、税金、质保期内保修服务与备用物件等所有其他有关各项的含税费用，项目实施及合同履行期间采购人不再另外支付其他任何费用。</w:t>
      </w:r>
    </w:p>
    <w:p w14:paraId="4A55EDF3">
      <w:pPr>
        <w:pageBreakBefore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color w:val="000000" w:themeColor="text1"/>
          <w:highlight w:val="none"/>
          <w:lang w:eastAsia="zh-CN"/>
          <w14:textFill>
            <w14:solidFill>
              <w14:schemeClr w14:val="tx1"/>
            </w14:solidFill>
          </w14:textFill>
        </w:rPr>
      </w:pPr>
      <w:r>
        <w:rPr>
          <w:rFonts w:hint="eastAsia"/>
          <w:color w:val="000000" w:themeColor="text1"/>
          <w:lang w:eastAsia="zh-CN"/>
          <w14:textFill>
            <w14:solidFill>
              <w14:schemeClr w14:val="tx1"/>
            </w14:solidFill>
          </w14:textFill>
        </w:rPr>
        <w:t>服务期：自项目最终验收合格之日起计算免费服务期限为2年。</w:t>
      </w:r>
      <w:r>
        <w:rPr>
          <w:rFonts w:hint="eastAsia"/>
          <w:color w:val="000000" w:themeColor="text1"/>
          <w:highlight w:val="none"/>
          <w:lang w:eastAsia="zh-CN"/>
          <w14:textFill>
            <w14:solidFill>
              <w14:schemeClr w14:val="tx1"/>
            </w14:solidFill>
          </w14:textFill>
        </w:rPr>
        <w:t>服务期满后，成交供应商继续提供升级、维护服务，每年升级维护费用不得超过本项目</w:t>
      </w:r>
      <w:r>
        <w:rPr>
          <w:rFonts w:hint="eastAsia"/>
          <w:color w:val="000000" w:themeColor="text1"/>
          <w:highlight w:val="none"/>
          <w:lang w:val="en-US" w:eastAsia="zh-CN"/>
          <w14:textFill>
            <w14:solidFill>
              <w14:schemeClr w14:val="tx1"/>
            </w14:solidFill>
          </w14:textFill>
        </w:rPr>
        <w:t>软件系统成交价</w:t>
      </w:r>
      <w:r>
        <w:rPr>
          <w:rFonts w:hint="eastAsia"/>
          <w:color w:val="000000" w:themeColor="text1"/>
          <w:highlight w:val="none"/>
          <w:lang w:eastAsia="zh-CN"/>
          <w14:textFill>
            <w14:solidFill>
              <w14:schemeClr w14:val="tx1"/>
            </w14:solidFill>
          </w14:textFill>
        </w:rPr>
        <w:t>的</w:t>
      </w:r>
      <w:r>
        <w:rPr>
          <w:rFonts w:hint="eastAsia"/>
          <w:color w:val="auto"/>
          <w:highlight w:val="none"/>
          <w:lang w:val="en-US" w:eastAsia="zh-CN"/>
        </w:rPr>
        <w:t>8</w:t>
      </w:r>
      <w:r>
        <w:rPr>
          <w:rFonts w:hint="eastAsia"/>
          <w:color w:val="auto"/>
          <w:highlight w:val="none"/>
          <w:lang w:eastAsia="zh-CN"/>
        </w:rPr>
        <w:t>%。</w:t>
      </w:r>
    </w:p>
    <w:p w14:paraId="0AE484FE">
      <w:pPr>
        <w:pageBreakBefore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color w:val="000000" w:themeColor="text1"/>
          <w:highlight w:val="none"/>
          <w:lang w:eastAsia="zh-CN"/>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4072579"/>
    </w:sdtPr>
    <w:sdtContent>
      <w:p w14:paraId="1382496C">
        <w:pPr>
          <w:pStyle w:val="20"/>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5572">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EBDA">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3CEBB">
    <w:pPr>
      <w:pStyle w:val="21"/>
      <w:pBdr>
        <w:bottom w:val="none" w:color="auto" w:sz="0" w:space="0"/>
      </w:pBdr>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00551">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D8B49">
    <w:pPr>
      <w:pStyle w:val="2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1680" w:hanging="480"/>
      </w:pPr>
    </w:lvl>
    <w:lvl w:ilvl="1" w:tentative="0">
      <w:start w:val="0"/>
      <w:numFmt w:val="bullet"/>
      <w:lvlText w:val="–"/>
      <w:lvlJc w:val="left"/>
      <w:pPr>
        <w:ind w:left="1440" w:hanging="480"/>
      </w:pPr>
    </w:lvl>
    <w:lvl w:ilvl="2" w:tentative="0">
      <w:start w:val="0"/>
      <w:numFmt w:val="bullet"/>
      <w:lvlText w:val="•"/>
      <w:lvlJc w:val="left"/>
      <w:pPr>
        <w:ind w:left="2160" w:hanging="480"/>
      </w:pPr>
    </w:lvl>
    <w:lvl w:ilvl="3" w:tentative="0">
      <w:start w:val="0"/>
      <w:numFmt w:val="bullet"/>
      <w:lvlText w:val="–"/>
      <w:lvlJc w:val="left"/>
      <w:pPr>
        <w:ind w:left="2880" w:hanging="480"/>
      </w:pPr>
    </w:lvl>
    <w:lvl w:ilvl="4" w:tentative="0">
      <w:start w:val="0"/>
      <w:numFmt w:val="bullet"/>
      <w:lvlText w:val="•"/>
      <w:lvlJc w:val="left"/>
      <w:pPr>
        <w:ind w:left="3600" w:hanging="480"/>
      </w:pPr>
    </w:lvl>
    <w:lvl w:ilvl="5" w:tentative="0">
      <w:start w:val="0"/>
      <w:numFmt w:val="bullet"/>
      <w:lvlText w:val="–"/>
      <w:lvlJc w:val="left"/>
      <w:pPr>
        <w:ind w:left="4320" w:hanging="480"/>
      </w:pPr>
    </w:lvl>
    <w:lvl w:ilvl="6" w:tentative="0">
      <w:start w:val="0"/>
      <w:numFmt w:val="bullet"/>
      <w:lvlText w:val="•"/>
      <w:lvlJc w:val="left"/>
      <w:pPr>
        <w:ind w:left="5040" w:hanging="480"/>
      </w:pPr>
    </w:lvl>
    <w:lvl w:ilvl="7" w:tentative="0">
      <w:start w:val="0"/>
      <w:numFmt w:val="bullet"/>
      <w:lvlText w:val="–"/>
      <w:lvlJc w:val="left"/>
      <w:pPr>
        <w:ind w:left="5760" w:hanging="480"/>
      </w:pPr>
    </w:lvl>
    <w:lvl w:ilvl="8" w:tentative="0">
      <w:start w:val="0"/>
      <w:numFmt w:val="bullet"/>
      <w:lvlText w:val="•"/>
      <w:lvlJc w:val="left"/>
      <w:pPr>
        <w:ind w:left="6480" w:hanging="480"/>
      </w:pPr>
    </w:lvl>
  </w:abstractNum>
  <w:abstractNum w:abstractNumId="1">
    <w:nsid w:val="03A9E2FB"/>
    <w:multiLevelType w:val="singleLevel"/>
    <w:tmpl w:val="03A9E2FB"/>
    <w:lvl w:ilvl="0" w:tentative="0">
      <w:start w:val="4"/>
      <w:numFmt w:val="chineseCounting"/>
      <w:suff w:val="nothing"/>
      <w:lvlText w:val="%1、"/>
      <w:lvlJc w:val="left"/>
      <w:rPr>
        <w:rFonts w:hint="eastAsia"/>
      </w:rPr>
    </w:lvl>
  </w:abstractNum>
  <w:abstractNum w:abstractNumId="2">
    <w:nsid w:val="125043A5"/>
    <w:multiLevelType w:val="multilevel"/>
    <w:tmpl w:val="125043A5"/>
    <w:lvl w:ilvl="0" w:tentative="0">
      <w:start w:val="1"/>
      <w:numFmt w:val="chineseCountingThousand"/>
      <w:pStyle w:val="2"/>
      <w:suff w:val="space"/>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6"/>
      <w:isLgl/>
      <w:suff w:val="space"/>
      <w:lvlText w:val="%1.%2.%3.%4"/>
      <w:lvlJc w:val="left"/>
      <w:pPr>
        <w:ind w:left="0" w:firstLine="0"/>
      </w:pPr>
      <w:rPr>
        <w:rFonts w:hint="eastAsia"/>
      </w:rPr>
    </w:lvl>
    <w:lvl w:ilvl="4" w:tentative="0">
      <w:start w:val="1"/>
      <w:numFmt w:val="decimal"/>
      <w:pStyle w:val="7"/>
      <w:isLgl/>
      <w:suff w:val="space"/>
      <w:lvlText w:val="%1.%2.%3.%4.%5"/>
      <w:lvlJc w:val="left"/>
      <w:pPr>
        <w:ind w:left="0" w:firstLine="0"/>
      </w:pPr>
      <w:rPr>
        <w:rFonts w:hint="eastAsia"/>
      </w:rPr>
    </w:lvl>
    <w:lvl w:ilvl="5" w:tentative="0">
      <w:start w:val="1"/>
      <w:numFmt w:val="decimal"/>
      <w:pStyle w:val="8"/>
      <w:isLgl/>
      <w:suff w:val="space"/>
      <w:lvlText w:val="%1.%2.%3.%4.%5.%6"/>
      <w:lvlJc w:val="left"/>
      <w:pPr>
        <w:ind w:left="0" w:firstLine="0"/>
      </w:pPr>
      <w:rPr>
        <w:rFonts w:hint="eastAsia"/>
      </w:rPr>
    </w:lvl>
    <w:lvl w:ilvl="6" w:tentative="0">
      <w:start w:val="1"/>
      <w:numFmt w:val="decimal"/>
      <w:pStyle w:val="9"/>
      <w:isLgl/>
      <w:suff w:val="space"/>
      <w:lvlText w:val="%1.%2.%3.%4.%5.%6.%7"/>
      <w:lvlJc w:val="left"/>
      <w:pPr>
        <w:ind w:left="0" w:firstLine="0"/>
      </w:pPr>
      <w:rPr>
        <w:rFonts w:hint="eastAsia"/>
      </w:rPr>
    </w:lvl>
    <w:lvl w:ilvl="7" w:tentative="0">
      <w:start w:val="1"/>
      <w:numFmt w:val="decimal"/>
      <w:pStyle w:val="10"/>
      <w:isLgl/>
      <w:suff w:val="space"/>
      <w:lvlText w:val="%1.%2.%3.%4.%5.%6.%7.%8"/>
      <w:lvlJc w:val="left"/>
      <w:pPr>
        <w:ind w:left="0" w:firstLine="0"/>
      </w:pPr>
      <w:rPr>
        <w:rFonts w:hint="eastAsia"/>
      </w:rPr>
    </w:lvl>
    <w:lvl w:ilvl="8" w:tentative="0">
      <w:start w:val="1"/>
      <w:numFmt w:val="decimal"/>
      <w:pStyle w:val="11"/>
      <w:isLgl/>
      <w:suff w:val="space"/>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hMDFkZmUzZmU5YmVhMzQzYzdkMzI4YTNhZWI1YWUifQ=="/>
  </w:docVars>
  <w:rsids>
    <w:rsidRoot w:val="00172A27"/>
    <w:rsid w:val="0000122A"/>
    <w:rsid w:val="00001691"/>
    <w:rsid w:val="000027E7"/>
    <w:rsid w:val="0000535C"/>
    <w:rsid w:val="000055F1"/>
    <w:rsid w:val="000061E1"/>
    <w:rsid w:val="00011557"/>
    <w:rsid w:val="00011D36"/>
    <w:rsid w:val="0001597F"/>
    <w:rsid w:val="000214F7"/>
    <w:rsid w:val="00041C97"/>
    <w:rsid w:val="000465F2"/>
    <w:rsid w:val="00053593"/>
    <w:rsid w:val="00056AD0"/>
    <w:rsid w:val="00056D63"/>
    <w:rsid w:val="000673AE"/>
    <w:rsid w:val="00067F16"/>
    <w:rsid w:val="0007249A"/>
    <w:rsid w:val="00073CE9"/>
    <w:rsid w:val="00081E08"/>
    <w:rsid w:val="00091B34"/>
    <w:rsid w:val="000946E7"/>
    <w:rsid w:val="00097D12"/>
    <w:rsid w:val="000A208A"/>
    <w:rsid w:val="000A35E5"/>
    <w:rsid w:val="000B3836"/>
    <w:rsid w:val="000B413B"/>
    <w:rsid w:val="000D7192"/>
    <w:rsid w:val="000E21B2"/>
    <w:rsid w:val="000E5724"/>
    <w:rsid w:val="000F21E8"/>
    <w:rsid w:val="000F5500"/>
    <w:rsid w:val="000F652F"/>
    <w:rsid w:val="00101B86"/>
    <w:rsid w:val="0011440C"/>
    <w:rsid w:val="001145C1"/>
    <w:rsid w:val="001178AA"/>
    <w:rsid w:val="00135A0E"/>
    <w:rsid w:val="00144F67"/>
    <w:rsid w:val="001557A8"/>
    <w:rsid w:val="0015698B"/>
    <w:rsid w:val="00157723"/>
    <w:rsid w:val="00161FDD"/>
    <w:rsid w:val="00162BF9"/>
    <w:rsid w:val="001761AF"/>
    <w:rsid w:val="0018433C"/>
    <w:rsid w:val="00186527"/>
    <w:rsid w:val="001905A3"/>
    <w:rsid w:val="001A16DC"/>
    <w:rsid w:val="001A2499"/>
    <w:rsid w:val="001A6047"/>
    <w:rsid w:val="001B2FD9"/>
    <w:rsid w:val="001C2994"/>
    <w:rsid w:val="001D064E"/>
    <w:rsid w:val="001D3D6A"/>
    <w:rsid w:val="001E16BA"/>
    <w:rsid w:val="001E577F"/>
    <w:rsid w:val="001E5A98"/>
    <w:rsid w:val="001E61F9"/>
    <w:rsid w:val="001E7978"/>
    <w:rsid w:val="001F4049"/>
    <w:rsid w:val="002030A6"/>
    <w:rsid w:val="00203DB7"/>
    <w:rsid w:val="0020446C"/>
    <w:rsid w:val="00213A61"/>
    <w:rsid w:val="00222298"/>
    <w:rsid w:val="00237A06"/>
    <w:rsid w:val="002402F2"/>
    <w:rsid w:val="0024384E"/>
    <w:rsid w:val="00251C27"/>
    <w:rsid w:val="00253B74"/>
    <w:rsid w:val="00294709"/>
    <w:rsid w:val="002A258A"/>
    <w:rsid w:val="002A4484"/>
    <w:rsid w:val="002A5700"/>
    <w:rsid w:val="002B284A"/>
    <w:rsid w:val="002C0BCF"/>
    <w:rsid w:val="002D759E"/>
    <w:rsid w:val="002E4BF8"/>
    <w:rsid w:val="002E4F8A"/>
    <w:rsid w:val="002F7B96"/>
    <w:rsid w:val="00326128"/>
    <w:rsid w:val="00326B28"/>
    <w:rsid w:val="00326FC9"/>
    <w:rsid w:val="003306AC"/>
    <w:rsid w:val="00346102"/>
    <w:rsid w:val="003553C4"/>
    <w:rsid w:val="0036307B"/>
    <w:rsid w:val="003727F0"/>
    <w:rsid w:val="003A28F4"/>
    <w:rsid w:val="003A633E"/>
    <w:rsid w:val="003B5EDD"/>
    <w:rsid w:val="003C4BD8"/>
    <w:rsid w:val="003C5125"/>
    <w:rsid w:val="003C546D"/>
    <w:rsid w:val="003C603B"/>
    <w:rsid w:val="003D1F4F"/>
    <w:rsid w:val="003D3952"/>
    <w:rsid w:val="003D6234"/>
    <w:rsid w:val="003E085C"/>
    <w:rsid w:val="003E3B43"/>
    <w:rsid w:val="003E4030"/>
    <w:rsid w:val="003F2FBB"/>
    <w:rsid w:val="003F3E96"/>
    <w:rsid w:val="003F519D"/>
    <w:rsid w:val="003F5CC7"/>
    <w:rsid w:val="003F63CC"/>
    <w:rsid w:val="0040467C"/>
    <w:rsid w:val="00411379"/>
    <w:rsid w:val="004202C5"/>
    <w:rsid w:val="00431FCB"/>
    <w:rsid w:val="00432DCD"/>
    <w:rsid w:val="00440157"/>
    <w:rsid w:val="0044421B"/>
    <w:rsid w:val="00447CA1"/>
    <w:rsid w:val="00460686"/>
    <w:rsid w:val="004655A1"/>
    <w:rsid w:val="0047382F"/>
    <w:rsid w:val="0047534A"/>
    <w:rsid w:val="0048658F"/>
    <w:rsid w:val="0048794D"/>
    <w:rsid w:val="00494D78"/>
    <w:rsid w:val="004B43B4"/>
    <w:rsid w:val="004B5D3B"/>
    <w:rsid w:val="004C09F4"/>
    <w:rsid w:val="004D362A"/>
    <w:rsid w:val="004E575A"/>
    <w:rsid w:val="004F0012"/>
    <w:rsid w:val="004F340C"/>
    <w:rsid w:val="004F39E1"/>
    <w:rsid w:val="004F598B"/>
    <w:rsid w:val="00512B4C"/>
    <w:rsid w:val="005145A3"/>
    <w:rsid w:val="0052011C"/>
    <w:rsid w:val="0052037A"/>
    <w:rsid w:val="00524CC9"/>
    <w:rsid w:val="00526088"/>
    <w:rsid w:val="00550ABA"/>
    <w:rsid w:val="00552035"/>
    <w:rsid w:val="00553E63"/>
    <w:rsid w:val="0055651E"/>
    <w:rsid w:val="00557E3A"/>
    <w:rsid w:val="00560B23"/>
    <w:rsid w:val="005636CA"/>
    <w:rsid w:val="00570012"/>
    <w:rsid w:val="00571A56"/>
    <w:rsid w:val="00581947"/>
    <w:rsid w:val="00586028"/>
    <w:rsid w:val="00592990"/>
    <w:rsid w:val="00594F13"/>
    <w:rsid w:val="005970F9"/>
    <w:rsid w:val="005A5305"/>
    <w:rsid w:val="005B01C0"/>
    <w:rsid w:val="005B146E"/>
    <w:rsid w:val="005B15CA"/>
    <w:rsid w:val="005B4375"/>
    <w:rsid w:val="005C14E9"/>
    <w:rsid w:val="005C6510"/>
    <w:rsid w:val="005E2018"/>
    <w:rsid w:val="005F778D"/>
    <w:rsid w:val="00620083"/>
    <w:rsid w:val="006378AF"/>
    <w:rsid w:val="006469CB"/>
    <w:rsid w:val="00647992"/>
    <w:rsid w:val="0065334B"/>
    <w:rsid w:val="006539D5"/>
    <w:rsid w:val="0065673F"/>
    <w:rsid w:val="00656BAF"/>
    <w:rsid w:val="00663107"/>
    <w:rsid w:val="00664224"/>
    <w:rsid w:val="0067129C"/>
    <w:rsid w:val="0067624B"/>
    <w:rsid w:val="00680D22"/>
    <w:rsid w:val="0069213B"/>
    <w:rsid w:val="006A21F2"/>
    <w:rsid w:val="006B7340"/>
    <w:rsid w:val="006B7412"/>
    <w:rsid w:val="006C4AFD"/>
    <w:rsid w:val="006D3457"/>
    <w:rsid w:val="006D43E1"/>
    <w:rsid w:val="006D46C9"/>
    <w:rsid w:val="006D67D6"/>
    <w:rsid w:val="006E08D6"/>
    <w:rsid w:val="006E3EEA"/>
    <w:rsid w:val="006E5B50"/>
    <w:rsid w:val="006E6B37"/>
    <w:rsid w:val="006F27E0"/>
    <w:rsid w:val="006F4425"/>
    <w:rsid w:val="006F7D86"/>
    <w:rsid w:val="0070153C"/>
    <w:rsid w:val="00701B34"/>
    <w:rsid w:val="00711DC0"/>
    <w:rsid w:val="007161D0"/>
    <w:rsid w:val="00717BD9"/>
    <w:rsid w:val="00721AD9"/>
    <w:rsid w:val="007437A6"/>
    <w:rsid w:val="00752B4E"/>
    <w:rsid w:val="00754490"/>
    <w:rsid w:val="007646B4"/>
    <w:rsid w:val="007710F3"/>
    <w:rsid w:val="00776905"/>
    <w:rsid w:val="00776B9A"/>
    <w:rsid w:val="007813E9"/>
    <w:rsid w:val="00783317"/>
    <w:rsid w:val="00790CA2"/>
    <w:rsid w:val="00794B27"/>
    <w:rsid w:val="007B332C"/>
    <w:rsid w:val="007C1E08"/>
    <w:rsid w:val="007C3CD2"/>
    <w:rsid w:val="007E6C69"/>
    <w:rsid w:val="007F1769"/>
    <w:rsid w:val="008019EE"/>
    <w:rsid w:val="008071C2"/>
    <w:rsid w:val="00812D2E"/>
    <w:rsid w:val="008211E4"/>
    <w:rsid w:val="00821A02"/>
    <w:rsid w:val="00836B45"/>
    <w:rsid w:val="008370EA"/>
    <w:rsid w:val="00837EED"/>
    <w:rsid w:val="00840454"/>
    <w:rsid w:val="00843395"/>
    <w:rsid w:val="00850505"/>
    <w:rsid w:val="008562BD"/>
    <w:rsid w:val="00862D00"/>
    <w:rsid w:val="00865190"/>
    <w:rsid w:val="00885886"/>
    <w:rsid w:val="00893121"/>
    <w:rsid w:val="008A4262"/>
    <w:rsid w:val="008A64B4"/>
    <w:rsid w:val="008A67F4"/>
    <w:rsid w:val="008B224C"/>
    <w:rsid w:val="008C2143"/>
    <w:rsid w:val="008C70EC"/>
    <w:rsid w:val="008D3E99"/>
    <w:rsid w:val="008E0C56"/>
    <w:rsid w:val="008E3C0F"/>
    <w:rsid w:val="008E6141"/>
    <w:rsid w:val="008E78ED"/>
    <w:rsid w:val="008E7B90"/>
    <w:rsid w:val="008F112B"/>
    <w:rsid w:val="008F574C"/>
    <w:rsid w:val="008F6DAD"/>
    <w:rsid w:val="00902D71"/>
    <w:rsid w:val="009262D2"/>
    <w:rsid w:val="00927085"/>
    <w:rsid w:val="009317FB"/>
    <w:rsid w:val="00933E3F"/>
    <w:rsid w:val="0093458C"/>
    <w:rsid w:val="009413EC"/>
    <w:rsid w:val="00947398"/>
    <w:rsid w:val="0095056A"/>
    <w:rsid w:val="00951254"/>
    <w:rsid w:val="009574D4"/>
    <w:rsid w:val="00961B05"/>
    <w:rsid w:val="009627C3"/>
    <w:rsid w:val="009660BD"/>
    <w:rsid w:val="0097121D"/>
    <w:rsid w:val="00972D9B"/>
    <w:rsid w:val="00985AD4"/>
    <w:rsid w:val="00986AC1"/>
    <w:rsid w:val="00987624"/>
    <w:rsid w:val="009A5AC1"/>
    <w:rsid w:val="009B0C61"/>
    <w:rsid w:val="009B5643"/>
    <w:rsid w:val="009B7C05"/>
    <w:rsid w:val="009C2263"/>
    <w:rsid w:val="009C32D3"/>
    <w:rsid w:val="009D4449"/>
    <w:rsid w:val="009D6FF7"/>
    <w:rsid w:val="009F48CF"/>
    <w:rsid w:val="00A00376"/>
    <w:rsid w:val="00A05B5A"/>
    <w:rsid w:val="00A06AD0"/>
    <w:rsid w:val="00A30827"/>
    <w:rsid w:val="00A316CB"/>
    <w:rsid w:val="00A32E36"/>
    <w:rsid w:val="00A5605A"/>
    <w:rsid w:val="00A70E0C"/>
    <w:rsid w:val="00A71CE6"/>
    <w:rsid w:val="00A721EE"/>
    <w:rsid w:val="00A73C31"/>
    <w:rsid w:val="00A748DA"/>
    <w:rsid w:val="00A76693"/>
    <w:rsid w:val="00A77AD0"/>
    <w:rsid w:val="00A8134E"/>
    <w:rsid w:val="00A955F8"/>
    <w:rsid w:val="00AB1168"/>
    <w:rsid w:val="00AB6274"/>
    <w:rsid w:val="00AB649E"/>
    <w:rsid w:val="00AB704E"/>
    <w:rsid w:val="00AB7C99"/>
    <w:rsid w:val="00AC5715"/>
    <w:rsid w:val="00AE3144"/>
    <w:rsid w:val="00AE4B57"/>
    <w:rsid w:val="00B02EBF"/>
    <w:rsid w:val="00B0443B"/>
    <w:rsid w:val="00B04D5E"/>
    <w:rsid w:val="00B1076B"/>
    <w:rsid w:val="00B11651"/>
    <w:rsid w:val="00B22D3D"/>
    <w:rsid w:val="00B24C20"/>
    <w:rsid w:val="00B3201E"/>
    <w:rsid w:val="00B362F8"/>
    <w:rsid w:val="00B507AD"/>
    <w:rsid w:val="00B535C6"/>
    <w:rsid w:val="00B53710"/>
    <w:rsid w:val="00B53A69"/>
    <w:rsid w:val="00B55BBE"/>
    <w:rsid w:val="00B61A63"/>
    <w:rsid w:val="00B62E58"/>
    <w:rsid w:val="00B650A4"/>
    <w:rsid w:val="00B723B1"/>
    <w:rsid w:val="00B7559F"/>
    <w:rsid w:val="00B768C5"/>
    <w:rsid w:val="00B8115A"/>
    <w:rsid w:val="00B82756"/>
    <w:rsid w:val="00B8278E"/>
    <w:rsid w:val="00B848CF"/>
    <w:rsid w:val="00B857A4"/>
    <w:rsid w:val="00B934F6"/>
    <w:rsid w:val="00BA16E1"/>
    <w:rsid w:val="00BB46AD"/>
    <w:rsid w:val="00BB6753"/>
    <w:rsid w:val="00BC1EAE"/>
    <w:rsid w:val="00BC57A3"/>
    <w:rsid w:val="00BD2C54"/>
    <w:rsid w:val="00BD449B"/>
    <w:rsid w:val="00BE1A50"/>
    <w:rsid w:val="00BE2494"/>
    <w:rsid w:val="00BF6EB1"/>
    <w:rsid w:val="00BF6EB7"/>
    <w:rsid w:val="00C127CC"/>
    <w:rsid w:val="00C14725"/>
    <w:rsid w:val="00C14A57"/>
    <w:rsid w:val="00C2665C"/>
    <w:rsid w:val="00C30BDC"/>
    <w:rsid w:val="00C5006B"/>
    <w:rsid w:val="00C6089B"/>
    <w:rsid w:val="00C727F6"/>
    <w:rsid w:val="00C759D9"/>
    <w:rsid w:val="00C807D0"/>
    <w:rsid w:val="00C85327"/>
    <w:rsid w:val="00C86D8B"/>
    <w:rsid w:val="00CA05C7"/>
    <w:rsid w:val="00CA0CD3"/>
    <w:rsid w:val="00CA2746"/>
    <w:rsid w:val="00CA6A2D"/>
    <w:rsid w:val="00CB1726"/>
    <w:rsid w:val="00CD5C74"/>
    <w:rsid w:val="00CF6A7A"/>
    <w:rsid w:val="00D02E44"/>
    <w:rsid w:val="00D02EFE"/>
    <w:rsid w:val="00D05C80"/>
    <w:rsid w:val="00D07836"/>
    <w:rsid w:val="00D124F6"/>
    <w:rsid w:val="00D12BDD"/>
    <w:rsid w:val="00D1405F"/>
    <w:rsid w:val="00D16005"/>
    <w:rsid w:val="00D17C43"/>
    <w:rsid w:val="00D228EF"/>
    <w:rsid w:val="00D25E70"/>
    <w:rsid w:val="00D340B6"/>
    <w:rsid w:val="00D35988"/>
    <w:rsid w:val="00D428E0"/>
    <w:rsid w:val="00D44B9A"/>
    <w:rsid w:val="00D4578E"/>
    <w:rsid w:val="00D50749"/>
    <w:rsid w:val="00D5635B"/>
    <w:rsid w:val="00D60253"/>
    <w:rsid w:val="00D67FE8"/>
    <w:rsid w:val="00D7718E"/>
    <w:rsid w:val="00D87FA1"/>
    <w:rsid w:val="00D9250B"/>
    <w:rsid w:val="00D94B07"/>
    <w:rsid w:val="00D96494"/>
    <w:rsid w:val="00DA4781"/>
    <w:rsid w:val="00DA574C"/>
    <w:rsid w:val="00DA667A"/>
    <w:rsid w:val="00DB2F9D"/>
    <w:rsid w:val="00DB47F9"/>
    <w:rsid w:val="00DC5CC5"/>
    <w:rsid w:val="00DD57AD"/>
    <w:rsid w:val="00DF5362"/>
    <w:rsid w:val="00E01968"/>
    <w:rsid w:val="00E049AB"/>
    <w:rsid w:val="00E07502"/>
    <w:rsid w:val="00E07FAE"/>
    <w:rsid w:val="00E13BEA"/>
    <w:rsid w:val="00E23073"/>
    <w:rsid w:val="00E374C4"/>
    <w:rsid w:val="00E4255C"/>
    <w:rsid w:val="00E430DC"/>
    <w:rsid w:val="00E52736"/>
    <w:rsid w:val="00E53551"/>
    <w:rsid w:val="00E66E5F"/>
    <w:rsid w:val="00E76C83"/>
    <w:rsid w:val="00E8212F"/>
    <w:rsid w:val="00E858EC"/>
    <w:rsid w:val="00E928B2"/>
    <w:rsid w:val="00EB1BEF"/>
    <w:rsid w:val="00EB1EA1"/>
    <w:rsid w:val="00EB291F"/>
    <w:rsid w:val="00EB2DE0"/>
    <w:rsid w:val="00EB6C19"/>
    <w:rsid w:val="00EC7441"/>
    <w:rsid w:val="00ED4149"/>
    <w:rsid w:val="00ED6D7E"/>
    <w:rsid w:val="00EE23C6"/>
    <w:rsid w:val="00EF7C91"/>
    <w:rsid w:val="00F02441"/>
    <w:rsid w:val="00F04B1C"/>
    <w:rsid w:val="00F172A5"/>
    <w:rsid w:val="00F357BC"/>
    <w:rsid w:val="00F41260"/>
    <w:rsid w:val="00F420B1"/>
    <w:rsid w:val="00F42E33"/>
    <w:rsid w:val="00F456D4"/>
    <w:rsid w:val="00F45D62"/>
    <w:rsid w:val="00F46EFC"/>
    <w:rsid w:val="00F5173E"/>
    <w:rsid w:val="00F5593A"/>
    <w:rsid w:val="00F62047"/>
    <w:rsid w:val="00F65BA7"/>
    <w:rsid w:val="00F80B38"/>
    <w:rsid w:val="00F841BB"/>
    <w:rsid w:val="00F86DBA"/>
    <w:rsid w:val="00F927A9"/>
    <w:rsid w:val="00F97F31"/>
    <w:rsid w:val="00FA3211"/>
    <w:rsid w:val="00FA44B9"/>
    <w:rsid w:val="00FB2EAA"/>
    <w:rsid w:val="00FB45E4"/>
    <w:rsid w:val="00FC001F"/>
    <w:rsid w:val="00FC278D"/>
    <w:rsid w:val="00FC4B67"/>
    <w:rsid w:val="00FC5E33"/>
    <w:rsid w:val="00FC61D4"/>
    <w:rsid w:val="00FD2286"/>
    <w:rsid w:val="00FE4208"/>
    <w:rsid w:val="00FE443D"/>
    <w:rsid w:val="00FF10A8"/>
    <w:rsid w:val="00FF6F38"/>
    <w:rsid w:val="01B57265"/>
    <w:rsid w:val="03F86B1C"/>
    <w:rsid w:val="04891E6A"/>
    <w:rsid w:val="04DF2D7C"/>
    <w:rsid w:val="075A6C3A"/>
    <w:rsid w:val="08CF63CD"/>
    <w:rsid w:val="08E6788B"/>
    <w:rsid w:val="09DD0B8C"/>
    <w:rsid w:val="0C994C14"/>
    <w:rsid w:val="0DA07C14"/>
    <w:rsid w:val="0EE749C6"/>
    <w:rsid w:val="0F0E2A6D"/>
    <w:rsid w:val="0F735BF1"/>
    <w:rsid w:val="0FE25767"/>
    <w:rsid w:val="113B44EC"/>
    <w:rsid w:val="119B18B2"/>
    <w:rsid w:val="126D2DCB"/>
    <w:rsid w:val="12E168D7"/>
    <w:rsid w:val="14AD5C20"/>
    <w:rsid w:val="167F4E7B"/>
    <w:rsid w:val="16D8458B"/>
    <w:rsid w:val="176C6457"/>
    <w:rsid w:val="176E3033"/>
    <w:rsid w:val="178C5AA1"/>
    <w:rsid w:val="18DD40DB"/>
    <w:rsid w:val="18EB2C9C"/>
    <w:rsid w:val="1A5A496A"/>
    <w:rsid w:val="1B1C0EEA"/>
    <w:rsid w:val="1B287C9D"/>
    <w:rsid w:val="1BF43C15"/>
    <w:rsid w:val="1CA70C88"/>
    <w:rsid w:val="1CDD19EB"/>
    <w:rsid w:val="1DC92661"/>
    <w:rsid w:val="1E4751FD"/>
    <w:rsid w:val="208E145F"/>
    <w:rsid w:val="252612AE"/>
    <w:rsid w:val="26601A4E"/>
    <w:rsid w:val="280E2A5D"/>
    <w:rsid w:val="2825611A"/>
    <w:rsid w:val="28C055AB"/>
    <w:rsid w:val="2967378D"/>
    <w:rsid w:val="2C882D50"/>
    <w:rsid w:val="2D02348F"/>
    <w:rsid w:val="2D67268A"/>
    <w:rsid w:val="2DC046A1"/>
    <w:rsid w:val="2DC518B5"/>
    <w:rsid w:val="2E2F0953"/>
    <w:rsid w:val="2E897D68"/>
    <w:rsid w:val="2EE31FF3"/>
    <w:rsid w:val="2FC11C09"/>
    <w:rsid w:val="309862A1"/>
    <w:rsid w:val="3108336B"/>
    <w:rsid w:val="311346E6"/>
    <w:rsid w:val="34163640"/>
    <w:rsid w:val="3498562E"/>
    <w:rsid w:val="34A4140B"/>
    <w:rsid w:val="34B00BC9"/>
    <w:rsid w:val="36D96503"/>
    <w:rsid w:val="36EB1489"/>
    <w:rsid w:val="39C00850"/>
    <w:rsid w:val="39C42A21"/>
    <w:rsid w:val="3A537871"/>
    <w:rsid w:val="3BB31A46"/>
    <w:rsid w:val="3BC211E2"/>
    <w:rsid w:val="3C54457E"/>
    <w:rsid w:val="42EA5217"/>
    <w:rsid w:val="43A8573D"/>
    <w:rsid w:val="443D68DB"/>
    <w:rsid w:val="450B3BFA"/>
    <w:rsid w:val="45A51959"/>
    <w:rsid w:val="45DC512A"/>
    <w:rsid w:val="47953C4F"/>
    <w:rsid w:val="47D55261"/>
    <w:rsid w:val="496B4C67"/>
    <w:rsid w:val="4B105AC6"/>
    <w:rsid w:val="4B692C57"/>
    <w:rsid w:val="4C370AFA"/>
    <w:rsid w:val="4CFE0BB0"/>
    <w:rsid w:val="4F1D0F79"/>
    <w:rsid w:val="506D5769"/>
    <w:rsid w:val="514C1822"/>
    <w:rsid w:val="51FF6894"/>
    <w:rsid w:val="535D7C24"/>
    <w:rsid w:val="5382777D"/>
    <w:rsid w:val="53874C6C"/>
    <w:rsid w:val="53FF13E4"/>
    <w:rsid w:val="553274AB"/>
    <w:rsid w:val="562468CA"/>
    <w:rsid w:val="56837A94"/>
    <w:rsid w:val="56D402F0"/>
    <w:rsid w:val="587C0C3F"/>
    <w:rsid w:val="5A90774D"/>
    <w:rsid w:val="5C0A47B4"/>
    <w:rsid w:val="5C4C26D6"/>
    <w:rsid w:val="5D2E1F91"/>
    <w:rsid w:val="5DCE1718"/>
    <w:rsid w:val="5E282CCF"/>
    <w:rsid w:val="5EBD4487"/>
    <w:rsid w:val="5F3758C0"/>
    <w:rsid w:val="5FD40E02"/>
    <w:rsid w:val="60932FCA"/>
    <w:rsid w:val="60C018E5"/>
    <w:rsid w:val="629F78D6"/>
    <w:rsid w:val="630C0E11"/>
    <w:rsid w:val="63864E39"/>
    <w:rsid w:val="641461CF"/>
    <w:rsid w:val="64970BAF"/>
    <w:rsid w:val="67337230"/>
    <w:rsid w:val="67CE48E7"/>
    <w:rsid w:val="67F243E4"/>
    <w:rsid w:val="683B56A6"/>
    <w:rsid w:val="6A470981"/>
    <w:rsid w:val="6AA77A8A"/>
    <w:rsid w:val="6B347C07"/>
    <w:rsid w:val="6B6861EC"/>
    <w:rsid w:val="6B80239C"/>
    <w:rsid w:val="6C4B5163"/>
    <w:rsid w:val="6C7401C1"/>
    <w:rsid w:val="73C74B08"/>
    <w:rsid w:val="76614B7F"/>
    <w:rsid w:val="766167D3"/>
    <w:rsid w:val="77026B10"/>
    <w:rsid w:val="78A96492"/>
    <w:rsid w:val="7BF07857"/>
    <w:rsid w:val="7C321491"/>
    <w:rsid w:val="7D4A280A"/>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9" w:semiHidden="0" w:name="heading 6"/>
    <w:lsdException w:qFormat="1" w:uiPriority="9"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宋体" w:hAnsi="宋体" w:eastAsiaTheme="minorEastAsia" w:cstheme="minorBidi"/>
      <w:kern w:val="2"/>
      <w:sz w:val="24"/>
      <w:szCs w:val="22"/>
      <w:lang w:val="en-US" w:eastAsia="zh-CN" w:bidi="ar-SA"/>
    </w:rPr>
  </w:style>
  <w:style w:type="paragraph" w:styleId="2">
    <w:name w:val="heading 1"/>
    <w:basedOn w:val="1"/>
    <w:next w:val="1"/>
    <w:link w:val="36"/>
    <w:autoRedefine/>
    <w:qFormat/>
    <w:uiPriority w:val="9"/>
    <w:pPr>
      <w:keepNext/>
      <w:keepLines/>
      <w:numPr>
        <w:ilvl w:val="0"/>
        <w:numId w:val="1"/>
      </w:numPr>
      <w:spacing w:before="160" w:after="160"/>
      <w:ind w:firstLineChars="0"/>
      <w:outlineLvl w:val="0"/>
    </w:pPr>
    <w:rPr>
      <w:rFonts w:eastAsiaTheme="majorEastAsia"/>
      <w:b/>
      <w:bCs/>
      <w:kern w:val="44"/>
      <w:sz w:val="32"/>
      <w:szCs w:val="44"/>
    </w:rPr>
  </w:style>
  <w:style w:type="paragraph" w:styleId="3">
    <w:name w:val="heading 2"/>
    <w:basedOn w:val="1"/>
    <w:next w:val="1"/>
    <w:link w:val="37"/>
    <w:autoRedefine/>
    <w:unhideWhenUsed/>
    <w:qFormat/>
    <w:uiPriority w:val="1"/>
    <w:pPr>
      <w:keepNext/>
      <w:keepLines/>
      <w:numPr>
        <w:ilvl w:val="1"/>
        <w:numId w:val="1"/>
      </w:numPr>
      <w:spacing w:before="160" w:after="160"/>
      <w:ind w:firstLineChars="0"/>
      <w:outlineLvl w:val="1"/>
    </w:pPr>
    <w:rPr>
      <w:rFonts w:eastAsiaTheme="majorEastAsia" w:cstheme="majorBidi"/>
      <w:b/>
      <w:bCs/>
      <w:sz w:val="30"/>
      <w:szCs w:val="32"/>
    </w:rPr>
  </w:style>
  <w:style w:type="paragraph" w:styleId="4">
    <w:name w:val="heading 3"/>
    <w:basedOn w:val="1"/>
    <w:next w:val="5"/>
    <w:link w:val="38"/>
    <w:autoRedefine/>
    <w:unhideWhenUsed/>
    <w:qFormat/>
    <w:uiPriority w:val="1"/>
    <w:pPr>
      <w:keepNext/>
      <w:keepLines/>
      <w:numPr>
        <w:ilvl w:val="2"/>
        <w:numId w:val="1"/>
      </w:numPr>
      <w:spacing w:before="160" w:after="160"/>
      <w:ind w:firstLineChars="0"/>
      <w:outlineLvl w:val="2"/>
    </w:pPr>
    <w:rPr>
      <w:rFonts w:eastAsiaTheme="majorEastAsia"/>
      <w:b/>
      <w:bCs/>
      <w:sz w:val="28"/>
      <w:szCs w:val="32"/>
    </w:rPr>
  </w:style>
  <w:style w:type="paragraph" w:styleId="6">
    <w:name w:val="heading 4"/>
    <w:basedOn w:val="1"/>
    <w:next w:val="5"/>
    <w:link w:val="39"/>
    <w:autoRedefine/>
    <w:unhideWhenUsed/>
    <w:qFormat/>
    <w:uiPriority w:val="1"/>
    <w:pPr>
      <w:keepNext/>
      <w:keepLines/>
      <w:numPr>
        <w:ilvl w:val="3"/>
        <w:numId w:val="1"/>
      </w:numPr>
      <w:spacing w:before="160" w:after="160"/>
      <w:ind w:firstLineChars="0"/>
      <w:outlineLvl w:val="3"/>
    </w:pPr>
    <w:rPr>
      <w:rFonts w:eastAsiaTheme="majorEastAsia" w:cstheme="majorBidi"/>
      <w:b/>
      <w:bCs/>
      <w:szCs w:val="28"/>
    </w:rPr>
  </w:style>
  <w:style w:type="paragraph" w:styleId="7">
    <w:name w:val="heading 5"/>
    <w:basedOn w:val="1"/>
    <w:next w:val="1"/>
    <w:link w:val="41"/>
    <w:autoRedefine/>
    <w:unhideWhenUsed/>
    <w:qFormat/>
    <w:uiPriority w:val="1"/>
    <w:pPr>
      <w:keepNext/>
      <w:keepLines/>
      <w:numPr>
        <w:ilvl w:val="4"/>
        <w:numId w:val="1"/>
      </w:numPr>
      <w:spacing w:before="160" w:after="160"/>
      <w:ind w:firstLineChars="0"/>
      <w:outlineLvl w:val="4"/>
    </w:pPr>
    <w:rPr>
      <w:b/>
      <w:bCs/>
      <w:szCs w:val="28"/>
    </w:rPr>
  </w:style>
  <w:style w:type="paragraph" w:styleId="8">
    <w:name w:val="heading 6"/>
    <w:basedOn w:val="1"/>
    <w:next w:val="1"/>
    <w:link w:val="44"/>
    <w:autoRedefine/>
    <w:unhideWhenUsed/>
    <w:qFormat/>
    <w:uiPriority w:val="9"/>
    <w:pPr>
      <w:keepNext/>
      <w:keepLines/>
      <w:numPr>
        <w:ilvl w:val="5"/>
        <w:numId w:val="1"/>
      </w:numPr>
      <w:spacing w:before="160" w:after="160"/>
      <w:ind w:firstLineChars="0"/>
      <w:outlineLvl w:val="5"/>
    </w:pPr>
    <w:rPr>
      <w:rFonts w:asciiTheme="majorHAnsi" w:hAnsiTheme="majorHAnsi" w:eastAsiaTheme="majorEastAsia" w:cstheme="majorBidi"/>
      <w:b/>
      <w:bCs/>
      <w:szCs w:val="24"/>
    </w:rPr>
  </w:style>
  <w:style w:type="paragraph" w:styleId="9">
    <w:name w:val="heading 7"/>
    <w:basedOn w:val="1"/>
    <w:next w:val="1"/>
    <w:link w:val="45"/>
    <w:autoRedefine/>
    <w:unhideWhenUsed/>
    <w:qFormat/>
    <w:uiPriority w:val="9"/>
    <w:pPr>
      <w:keepNext/>
      <w:keepLines/>
      <w:numPr>
        <w:ilvl w:val="6"/>
        <w:numId w:val="1"/>
      </w:numPr>
      <w:spacing w:before="160" w:after="160"/>
      <w:ind w:firstLineChars="0"/>
      <w:outlineLvl w:val="6"/>
    </w:pPr>
    <w:rPr>
      <w:b/>
      <w:bCs/>
      <w:szCs w:val="24"/>
    </w:rPr>
  </w:style>
  <w:style w:type="paragraph" w:styleId="10">
    <w:name w:val="heading 8"/>
    <w:basedOn w:val="1"/>
    <w:next w:val="1"/>
    <w:link w:val="46"/>
    <w:autoRedefine/>
    <w:unhideWhenUsed/>
    <w:qFormat/>
    <w:uiPriority w:val="0"/>
    <w:pPr>
      <w:keepNext/>
      <w:keepLines/>
      <w:numPr>
        <w:ilvl w:val="7"/>
        <w:numId w:val="1"/>
      </w:numPr>
      <w:spacing w:before="160" w:after="160"/>
      <w:ind w:firstLineChars="0"/>
      <w:outlineLvl w:val="7"/>
    </w:pPr>
    <w:rPr>
      <w:rFonts w:asciiTheme="majorHAnsi" w:hAnsiTheme="majorHAnsi" w:eastAsiaTheme="majorEastAsia" w:cstheme="majorBidi"/>
      <w:b/>
      <w:szCs w:val="24"/>
    </w:rPr>
  </w:style>
  <w:style w:type="paragraph" w:styleId="11">
    <w:name w:val="heading 9"/>
    <w:basedOn w:val="1"/>
    <w:next w:val="1"/>
    <w:link w:val="47"/>
    <w:autoRedefine/>
    <w:unhideWhenUsed/>
    <w:qFormat/>
    <w:uiPriority w:val="0"/>
    <w:pPr>
      <w:keepNext/>
      <w:keepLines/>
      <w:numPr>
        <w:ilvl w:val="8"/>
        <w:numId w:val="1"/>
      </w:numPr>
      <w:spacing w:before="160" w:after="160"/>
      <w:ind w:firstLineChars="0"/>
      <w:outlineLvl w:val="8"/>
    </w:pPr>
    <w:rPr>
      <w:rFonts w:asciiTheme="majorHAnsi" w:hAnsiTheme="majorHAnsi" w:eastAsiaTheme="majorEastAsia" w:cstheme="majorBidi"/>
      <w:b/>
      <w:sz w:val="21"/>
      <w:szCs w:val="21"/>
    </w:rPr>
  </w:style>
  <w:style w:type="character" w:default="1" w:styleId="30">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54"/>
    <w:autoRedefine/>
    <w:qFormat/>
    <w:uiPriority w:val="0"/>
    <w:pPr>
      <w:ind w:firstLine="0" w:firstLineChars="0"/>
    </w:pPr>
    <w:rPr>
      <w:rFonts w:ascii="楷体_GB2312" w:hAnsi="Arial" w:eastAsia="楷体_GB2312" w:cs="Times New Roman"/>
      <w:sz w:val="28"/>
      <w:szCs w:val="28"/>
    </w:rPr>
  </w:style>
  <w:style w:type="paragraph" w:styleId="12">
    <w:name w:val="toc 7"/>
    <w:basedOn w:val="1"/>
    <w:next w:val="1"/>
    <w:autoRedefine/>
    <w:unhideWhenUsed/>
    <w:qFormat/>
    <w:uiPriority w:val="39"/>
    <w:pPr>
      <w:ind w:left="1440"/>
      <w:jc w:val="left"/>
    </w:pPr>
    <w:rPr>
      <w:rFonts w:asciiTheme="minorHAnsi" w:hAnsiTheme="minorHAnsi" w:cstheme="minorHAnsi"/>
      <w:sz w:val="18"/>
      <w:szCs w:val="18"/>
    </w:rPr>
  </w:style>
  <w:style w:type="paragraph" w:styleId="13">
    <w:name w:val="Normal Indent"/>
    <w:basedOn w:val="1"/>
    <w:link w:val="50"/>
    <w:autoRedefine/>
    <w:qFormat/>
    <w:uiPriority w:val="0"/>
    <w:pPr>
      <w:ind w:firstLine="420" w:firstLineChars="0"/>
    </w:pPr>
    <w:rPr>
      <w:rFonts w:ascii="Times New Roman" w:hAnsi="Times New Roman" w:eastAsia="宋体" w:cs="Times New Roman"/>
      <w:sz w:val="21"/>
      <w:szCs w:val="21"/>
    </w:rPr>
  </w:style>
  <w:style w:type="paragraph" w:styleId="14">
    <w:name w:val="annotation text"/>
    <w:basedOn w:val="1"/>
    <w:link w:val="60"/>
    <w:autoRedefine/>
    <w:unhideWhenUsed/>
    <w:qFormat/>
    <w:uiPriority w:val="99"/>
    <w:pPr>
      <w:jc w:val="left"/>
    </w:pPr>
  </w:style>
  <w:style w:type="paragraph" w:styleId="15">
    <w:name w:val="Body Text Indent"/>
    <w:basedOn w:val="1"/>
    <w:link w:val="56"/>
    <w:autoRedefine/>
    <w:semiHidden/>
    <w:unhideWhenUsed/>
    <w:qFormat/>
    <w:uiPriority w:val="99"/>
    <w:pPr>
      <w:spacing w:after="120"/>
      <w:ind w:left="420" w:leftChars="200"/>
    </w:pPr>
  </w:style>
  <w:style w:type="paragraph" w:styleId="16">
    <w:name w:val="toc 5"/>
    <w:basedOn w:val="1"/>
    <w:next w:val="1"/>
    <w:autoRedefine/>
    <w:unhideWhenUsed/>
    <w:qFormat/>
    <w:uiPriority w:val="39"/>
    <w:pPr>
      <w:ind w:left="960"/>
      <w:jc w:val="left"/>
    </w:pPr>
    <w:rPr>
      <w:rFonts w:asciiTheme="minorHAnsi" w:hAnsiTheme="minorHAnsi" w:cstheme="minorHAnsi"/>
      <w:sz w:val="18"/>
      <w:szCs w:val="18"/>
    </w:rPr>
  </w:style>
  <w:style w:type="paragraph" w:styleId="17">
    <w:name w:val="toc 3"/>
    <w:basedOn w:val="1"/>
    <w:next w:val="1"/>
    <w:autoRedefine/>
    <w:unhideWhenUsed/>
    <w:qFormat/>
    <w:uiPriority w:val="39"/>
    <w:pPr>
      <w:ind w:left="480"/>
      <w:jc w:val="left"/>
    </w:pPr>
    <w:rPr>
      <w:rFonts w:asciiTheme="minorHAnsi" w:hAnsiTheme="minorHAnsi" w:cstheme="minorHAnsi"/>
      <w:i/>
      <w:iCs/>
      <w:sz w:val="20"/>
      <w:szCs w:val="20"/>
    </w:rPr>
  </w:style>
  <w:style w:type="paragraph" w:styleId="18">
    <w:name w:val="toc 8"/>
    <w:basedOn w:val="1"/>
    <w:next w:val="1"/>
    <w:autoRedefine/>
    <w:unhideWhenUsed/>
    <w:qFormat/>
    <w:uiPriority w:val="39"/>
    <w:pPr>
      <w:ind w:left="1680"/>
      <w:jc w:val="left"/>
    </w:pPr>
    <w:rPr>
      <w:rFonts w:asciiTheme="minorHAnsi" w:hAnsiTheme="minorHAnsi" w:cstheme="minorHAnsi"/>
      <w:sz w:val="18"/>
      <w:szCs w:val="18"/>
    </w:rPr>
  </w:style>
  <w:style w:type="paragraph" w:styleId="19">
    <w:name w:val="Balloon Text"/>
    <w:basedOn w:val="1"/>
    <w:link w:val="48"/>
    <w:autoRedefine/>
    <w:unhideWhenUsed/>
    <w:qFormat/>
    <w:uiPriority w:val="0"/>
    <w:pPr>
      <w:spacing w:line="240" w:lineRule="auto"/>
    </w:pPr>
    <w:rPr>
      <w:sz w:val="18"/>
      <w:szCs w:val="18"/>
    </w:rPr>
  </w:style>
  <w:style w:type="paragraph" w:styleId="20">
    <w:name w:val="footer"/>
    <w:basedOn w:val="1"/>
    <w:link w:val="35"/>
    <w:autoRedefine/>
    <w:unhideWhenUsed/>
    <w:qFormat/>
    <w:uiPriority w:val="99"/>
    <w:pPr>
      <w:tabs>
        <w:tab w:val="center" w:pos="4153"/>
        <w:tab w:val="right" w:pos="8306"/>
      </w:tabs>
      <w:snapToGrid w:val="0"/>
      <w:jc w:val="left"/>
    </w:pPr>
    <w:rPr>
      <w:sz w:val="18"/>
      <w:szCs w:val="18"/>
    </w:rPr>
  </w:style>
  <w:style w:type="paragraph" w:styleId="21">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jc w:val="left"/>
    </w:pPr>
    <w:rPr>
      <w:rFonts w:asciiTheme="minorHAnsi" w:hAnsiTheme="minorHAnsi" w:cstheme="minorHAnsi"/>
      <w:b/>
      <w:bCs/>
      <w:caps/>
      <w:sz w:val="20"/>
      <w:szCs w:val="20"/>
    </w:rPr>
  </w:style>
  <w:style w:type="paragraph" w:styleId="23">
    <w:name w:val="toc 4"/>
    <w:basedOn w:val="1"/>
    <w:next w:val="1"/>
    <w:autoRedefine/>
    <w:unhideWhenUsed/>
    <w:qFormat/>
    <w:uiPriority w:val="39"/>
    <w:pPr>
      <w:ind w:left="720"/>
      <w:jc w:val="left"/>
    </w:pPr>
    <w:rPr>
      <w:rFonts w:asciiTheme="minorHAnsi" w:hAnsiTheme="minorHAnsi" w:cstheme="minorHAnsi"/>
      <w:sz w:val="18"/>
      <w:szCs w:val="18"/>
    </w:rPr>
  </w:style>
  <w:style w:type="paragraph" w:styleId="24">
    <w:name w:val="toc 6"/>
    <w:basedOn w:val="1"/>
    <w:next w:val="1"/>
    <w:autoRedefine/>
    <w:unhideWhenUsed/>
    <w:qFormat/>
    <w:uiPriority w:val="39"/>
    <w:pPr>
      <w:ind w:left="1200"/>
      <w:jc w:val="left"/>
    </w:pPr>
    <w:rPr>
      <w:rFonts w:asciiTheme="minorHAnsi" w:hAnsiTheme="minorHAnsi" w:cstheme="minorHAnsi"/>
      <w:sz w:val="18"/>
      <w:szCs w:val="18"/>
    </w:rPr>
  </w:style>
  <w:style w:type="paragraph" w:styleId="25">
    <w:name w:val="toc 2"/>
    <w:basedOn w:val="1"/>
    <w:next w:val="1"/>
    <w:autoRedefine/>
    <w:unhideWhenUsed/>
    <w:qFormat/>
    <w:uiPriority w:val="39"/>
    <w:pPr>
      <w:ind w:left="240"/>
      <w:jc w:val="left"/>
    </w:pPr>
    <w:rPr>
      <w:rFonts w:asciiTheme="minorHAnsi" w:hAnsiTheme="minorHAnsi" w:cstheme="minorHAnsi"/>
      <w:smallCaps/>
      <w:sz w:val="20"/>
      <w:szCs w:val="20"/>
    </w:rPr>
  </w:style>
  <w:style w:type="paragraph" w:styleId="26">
    <w:name w:val="toc 9"/>
    <w:basedOn w:val="1"/>
    <w:next w:val="1"/>
    <w:autoRedefine/>
    <w:unhideWhenUsed/>
    <w:qFormat/>
    <w:uiPriority w:val="39"/>
    <w:pPr>
      <w:ind w:left="1920"/>
      <w:jc w:val="left"/>
    </w:pPr>
    <w:rPr>
      <w:rFonts w:asciiTheme="minorHAnsi" w:hAnsiTheme="minorHAnsi" w:cstheme="minorHAnsi"/>
      <w:sz w:val="18"/>
      <w:szCs w:val="18"/>
    </w:rPr>
  </w:style>
  <w:style w:type="paragraph" w:styleId="27">
    <w:name w:val="annotation subject"/>
    <w:basedOn w:val="14"/>
    <w:next w:val="14"/>
    <w:link w:val="61"/>
    <w:autoRedefine/>
    <w:semiHidden/>
    <w:unhideWhenUsed/>
    <w:qFormat/>
    <w:uiPriority w:val="99"/>
    <w:rPr>
      <w:b/>
      <w:bCs/>
    </w:rPr>
  </w:style>
  <w:style w:type="paragraph" w:styleId="28">
    <w:name w:val="Body Text First Indent 2"/>
    <w:basedOn w:val="15"/>
    <w:link w:val="57"/>
    <w:autoRedefine/>
    <w:semiHidden/>
    <w:unhideWhenUsed/>
    <w:qFormat/>
    <w:uiPriority w:val="99"/>
    <w:pPr>
      <w:ind w:firstLine="420"/>
    </w:pPr>
  </w:style>
  <w:style w:type="character" w:styleId="31">
    <w:name w:val="Strong"/>
    <w:basedOn w:val="30"/>
    <w:qFormat/>
    <w:uiPriority w:val="22"/>
    <w:rPr>
      <w:b/>
    </w:rPr>
  </w:style>
  <w:style w:type="character" w:styleId="32">
    <w:name w:val="Hyperlink"/>
    <w:basedOn w:val="30"/>
    <w:autoRedefine/>
    <w:unhideWhenUsed/>
    <w:qFormat/>
    <w:uiPriority w:val="99"/>
    <w:rPr>
      <w:color w:val="0563C1" w:themeColor="hyperlink"/>
      <w:u w:val="single"/>
      <w14:textFill>
        <w14:solidFill>
          <w14:schemeClr w14:val="hlink"/>
        </w14:solidFill>
      </w14:textFill>
    </w:rPr>
  </w:style>
  <w:style w:type="character" w:styleId="33">
    <w:name w:val="annotation reference"/>
    <w:basedOn w:val="30"/>
    <w:autoRedefine/>
    <w:semiHidden/>
    <w:unhideWhenUsed/>
    <w:qFormat/>
    <w:uiPriority w:val="99"/>
    <w:rPr>
      <w:sz w:val="21"/>
      <w:szCs w:val="21"/>
    </w:rPr>
  </w:style>
  <w:style w:type="character" w:customStyle="1" w:styleId="34">
    <w:name w:val="页眉 字符"/>
    <w:basedOn w:val="30"/>
    <w:link w:val="21"/>
    <w:autoRedefine/>
    <w:qFormat/>
    <w:uiPriority w:val="99"/>
    <w:rPr>
      <w:sz w:val="18"/>
      <w:szCs w:val="18"/>
    </w:rPr>
  </w:style>
  <w:style w:type="character" w:customStyle="1" w:styleId="35">
    <w:name w:val="页脚 字符"/>
    <w:basedOn w:val="30"/>
    <w:link w:val="20"/>
    <w:autoRedefine/>
    <w:qFormat/>
    <w:uiPriority w:val="99"/>
    <w:rPr>
      <w:sz w:val="18"/>
      <w:szCs w:val="18"/>
    </w:rPr>
  </w:style>
  <w:style w:type="character" w:customStyle="1" w:styleId="36">
    <w:name w:val="标题 1 字符"/>
    <w:basedOn w:val="30"/>
    <w:link w:val="2"/>
    <w:autoRedefine/>
    <w:qFormat/>
    <w:uiPriority w:val="9"/>
    <w:rPr>
      <w:rFonts w:eastAsiaTheme="majorEastAsia"/>
      <w:b/>
      <w:bCs/>
      <w:kern w:val="44"/>
      <w:sz w:val="32"/>
      <w:szCs w:val="44"/>
    </w:rPr>
  </w:style>
  <w:style w:type="character" w:customStyle="1" w:styleId="37">
    <w:name w:val="标题 2 字符"/>
    <w:basedOn w:val="30"/>
    <w:link w:val="3"/>
    <w:autoRedefine/>
    <w:qFormat/>
    <w:uiPriority w:val="9"/>
    <w:rPr>
      <w:rFonts w:ascii="宋体" w:hAnsi="宋体" w:eastAsiaTheme="majorEastAsia" w:cstheme="majorBidi"/>
      <w:b/>
      <w:bCs/>
      <w:sz w:val="30"/>
      <w:szCs w:val="32"/>
    </w:rPr>
  </w:style>
  <w:style w:type="character" w:customStyle="1" w:styleId="38">
    <w:name w:val="标题 3 字符"/>
    <w:basedOn w:val="30"/>
    <w:link w:val="4"/>
    <w:autoRedefine/>
    <w:qFormat/>
    <w:uiPriority w:val="0"/>
    <w:rPr>
      <w:rFonts w:ascii="宋体" w:hAnsi="宋体" w:eastAsiaTheme="majorEastAsia"/>
      <w:b/>
      <w:bCs/>
      <w:sz w:val="28"/>
      <w:szCs w:val="32"/>
    </w:rPr>
  </w:style>
  <w:style w:type="character" w:customStyle="1" w:styleId="39">
    <w:name w:val="标题 4 字符"/>
    <w:basedOn w:val="30"/>
    <w:link w:val="6"/>
    <w:autoRedefine/>
    <w:qFormat/>
    <w:uiPriority w:val="99"/>
    <w:rPr>
      <w:rFonts w:ascii="宋体" w:hAnsi="宋体" w:eastAsiaTheme="majorEastAsia" w:cstheme="majorBidi"/>
      <w:b/>
      <w:bCs/>
      <w:sz w:val="24"/>
      <w:szCs w:val="28"/>
    </w:rPr>
  </w:style>
  <w:style w:type="paragraph" w:styleId="40">
    <w:name w:val="No Spacing"/>
    <w:link w:val="53"/>
    <w:autoRedefine/>
    <w:qFormat/>
    <w:uiPriority w:val="1"/>
    <w:pPr>
      <w:widowControl w:val="0"/>
      <w:spacing w:line="360" w:lineRule="auto"/>
      <w:jc w:val="both"/>
    </w:pPr>
    <w:rPr>
      <w:rFonts w:ascii="宋体" w:hAnsi="宋体" w:eastAsiaTheme="minorEastAsia" w:cstheme="minorBidi"/>
      <w:kern w:val="2"/>
      <w:sz w:val="24"/>
      <w:szCs w:val="22"/>
      <w:lang w:val="en-US" w:eastAsia="zh-CN" w:bidi="ar-SA"/>
    </w:rPr>
  </w:style>
  <w:style w:type="character" w:customStyle="1" w:styleId="41">
    <w:name w:val="标题 5 字符"/>
    <w:basedOn w:val="30"/>
    <w:link w:val="7"/>
    <w:autoRedefine/>
    <w:qFormat/>
    <w:uiPriority w:val="9"/>
    <w:rPr>
      <w:rFonts w:ascii="宋体" w:hAnsi="宋体"/>
      <w:b/>
      <w:bCs/>
      <w:sz w:val="24"/>
      <w:szCs w:val="28"/>
    </w:rPr>
  </w:style>
  <w:style w:type="paragraph" w:customStyle="1" w:styleId="42">
    <w:name w:val="列出段落1"/>
    <w:basedOn w:val="1"/>
    <w:autoRedefine/>
    <w:qFormat/>
    <w:uiPriority w:val="0"/>
    <w:pPr>
      <w:spacing w:line="240" w:lineRule="auto"/>
      <w:ind w:firstLine="420"/>
    </w:pPr>
    <w:rPr>
      <w:rFonts w:ascii="Times New Roman" w:hAnsi="Times New Roman" w:eastAsia="宋体" w:cs="Times New Roman"/>
      <w:sz w:val="21"/>
      <w:szCs w:val="24"/>
    </w:rPr>
  </w:style>
  <w:style w:type="paragraph" w:styleId="43">
    <w:name w:val="List Paragraph"/>
    <w:basedOn w:val="1"/>
    <w:autoRedefine/>
    <w:qFormat/>
    <w:uiPriority w:val="34"/>
    <w:pPr>
      <w:ind w:firstLine="420"/>
    </w:pPr>
  </w:style>
  <w:style w:type="character" w:customStyle="1" w:styleId="44">
    <w:name w:val="标题 6 字符"/>
    <w:basedOn w:val="30"/>
    <w:link w:val="8"/>
    <w:autoRedefine/>
    <w:qFormat/>
    <w:uiPriority w:val="9"/>
    <w:rPr>
      <w:rFonts w:asciiTheme="majorHAnsi" w:hAnsiTheme="majorHAnsi" w:eastAsiaTheme="majorEastAsia" w:cstheme="majorBidi"/>
      <w:b/>
      <w:bCs/>
      <w:sz w:val="24"/>
      <w:szCs w:val="24"/>
    </w:rPr>
  </w:style>
  <w:style w:type="character" w:customStyle="1" w:styleId="45">
    <w:name w:val="标题 7 字符"/>
    <w:basedOn w:val="30"/>
    <w:link w:val="9"/>
    <w:autoRedefine/>
    <w:qFormat/>
    <w:uiPriority w:val="9"/>
    <w:rPr>
      <w:rFonts w:ascii="宋体" w:hAnsi="宋体"/>
      <w:b/>
      <w:bCs/>
      <w:sz w:val="24"/>
      <w:szCs w:val="24"/>
    </w:rPr>
  </w:style>
  <w:style w:type="character" w:customStyle="1" w:styleId="46">
    <w:name w:val="标题 8 字符"/>
    <w:basedOn w:val="30"/>
    <w:link w:val="10"/>
    <w:autoRedefine/>
    <w:qFormat/>
    <w:uiPriority w:val="9"/>
    <w:rPr>
      <w:rFonts w:asciiTheme="majorHAnsi" w:hAnsiTheme="majorHAnsi" w:eastAsiaTheme="majorEastAsia" w:cstheme="majorBidi"/>
      <w:b/>
      <w:sz w:val="24"/>
      <w:szCs w:val="24"/>
    </w:rPr>
  </w:style>
  <w:style w:type="character" w:customStyle="1" w:styleId="47">
    <w:name w:val="标题 9 字符"/>
    <w:basedOn w:val="30"/>
    <w:link w:val="11"/>
    <w:autoRedefine/>
    <w:qFormat/>
    <w:uiPriority w:val="9"/>
    <w:rPr>
      <w:rFonts w:asciiTheme="majorHAnsi" w:hAnsiTheme="majorHAnsi" w:eastAsiaTheme="majorEastAsia" w:cstheme="majorBidi"/>
      <w:b/>
      <w:szCs w:val="21"/>
    </w:rPr>
  </w:style>
  <w:style w:type="character" w:customStyle="1" w:styleId="48">
    <w:name w:val="批注框文本 字符"/>
    <w:basedOn w:val="30"/>
    <w:link w:val="19"/>
    <w:autoRedefine/>
    <w:qFormat/>
    <w:uiPriority w:val="0"/>
    <w:rPr>
      <w:rFonts w:ascii="宋体" w:hAnsi="宋体"/>
      <w:sz w:val="18"/>
      <w:szCs w:val="18"/>
    </w:rPr>
  </w:style>
  <w:style w:type="paragraph" w:customStyle="1" w:styleId="49">
    <w:name w:val="TOC 标题1"/>
    <w:basedOn w:val="2"/>
    <w:next w:val="1"/>
    <w:autoRedefine/>
    <w:unhideWhenUsed/>
    <w:qFormat/>
    <w:uiPriority w:val="39"/>
    <w:pPr>
      <w:widowControl/>
      <w:numPr>
        <w:numId w:val="0"/>
      </w:numPr>
      <w:spacing w:before="240" w:after="0" w:line="259" w:lineRule="auto"/>
      <w:jc w:val="left"/>
      <w:outlineLvl w:val="9"/>
    </w:pPr>
    <w:rPr>
      <w:rFonts w:asciiTheme="majorHAnsi" w:hAnsiTheme="majorHAnsi" w:cstheme="majorBidi"/>
      <w:b w:val="0"/>
      <w:bCs w:val="0"/>
      <w:color w:val="2E75B6" w:themeColor="accent1" w:themeShade="BF"/>
      <w:kern w:val="0"/>
      <w:szCs w:val="32"/>
    </w:rPr>
  </w:style>
  <w:style w:type="character" w:customStyle="1" w:styleId="50">
    <w:name w:val="正文缩进 字符"/>
    <w:link w:val="13"/>
    <w:autoRedefine/>
    <w:qFormat/>
    <w:uiPriority w:val="0"/>
    <w:rPr>
      <w:rFonts w:ascii="Times New Roman" w:hAnsi="Times New Roman" w:eastAsia="宋体" w:cs="Times New Roman"/>
      <w:szCs w:val="21"/>
    </w:rPr>
  </w:style>
  <w:style w:type="character" w:customStyle="1" w:styleId="51">
    <w:name w:val="正文缩进 字符1"/>
    <w:autoRedefine/>
    <w:qFormat/>
    <w:uiPriority w:val="0"/>
    <w:rPr>
      <w:rFonts w:eastAsia="宋体"/>
      <w:kern w:val="2"/>
      <w:sz w:val="21"/>
      <w:szCs w:val="21"/>
      <w:lang w:val="en-US" w:eastAsia="zh-CN" w:bidi="ar-SA"/>
    </w:rPr>
  </w:style>
  <w:style w:type="character" w:customStyle="1" w:styleId="52">
    <w:name w:val="未处理的提及1"/>
    <w:basedOn w:val="30"/>
    <w:autoRedefine/>
    <w:semiHidden/>
    <w:unhideWhenUsed/>
    <w:qFormat/>
    <w:uiPriority w:val="99"/>
    <w:rPr>
      <w:color w:val="605E5C"/>
      <w:shd w:val="clear" w:color="auto" w:fill="E1DFDD"/>
    </w:rPr>
  </w:style>
  <w:style w:type="character" w:customStyle="1" w:styleId="53">
    <w:name w:val="无间隔 字符"/>
    <w:link w:val="40"/>
    <w:autoRedefine/>
    <w:qFormat/>
    <w:uiPriority w:val="1"/>
    <w:rPr>
      <w:rFonts w:ascii="宋体" w:hAnsi="宋体"/>
      <w:sz w:val="24"/>
    </w:rPr>
  </w:style>
  <w:style w:type="character" w:customStyle="1" w:styleId="54">
    <w:name w:val="正文文本 字符"/>
    <w:basedOn w:val="30"/>
    <w:link w:val="5"/>
    <w:autoRedefine/>
    <w:qFormat/>
    <w:uiPriority w:val="0"/>
    <w:rPr>
      <w:rFonts w:ascii="楷体_GB2312" w:hAnsi="Arial" w:eastAsia="楷体_GB2312" w:cs="Times New Roman"/>
      <w:sz w:val="28"/>
      <w:szCs w:val="28"/>
    </w:rPr>
  </w:style>
  <w:style w:type="paragraph" w:customStyle="1" w:styleId="55">
    <w:name w:val="Table Paragraph"/>
    <w:basedOn w:val="1"/>
    <w:autoRedefine/>
    <w:qFormat/>
    <w:uiPriority w:val="1"/>
    <w:pPr>
      <w:ind w:firstLine="0" w:firstLineChars="0"/>
    </w:pPr>
    <w:rPr>
      <w:rFonts w:eastAsia="宋体" w:cs="宋体"/>
      <w:szCs w:val="20"/>
      <w:lang w:val="zh-CN" w:bidi="zh-CN"/>
    </w:rPr>
  </w:style>
  <w:style w:type="character" w:customStyle="1" w:styleId="56">
    <w:name w:val="正文文本缩进 字符"/>
    <w:basedOn w:val="30"/>
    <w:link w:val="15"/>
    <w:autoRedefine/>
    <w:semiHidden/>
    <w:qFormat/>
    <w:uiPriority w:val="99"/>
    <w:rPr>
      <w:rFonts w:ascii="宋体" w:hAnsi="宋体"/>
      <w:sz w:val="24"/>
    </w:rPr>
  </w:style>
  <w:style w:type="character" w:customStyle="1" w:styleId="57">
    <w:name w:val="正文文本首行缩进 2 字符"/>
    <w:basedOn w:val="56"/>
    <w:link w:val="28"/>
    <w:autoRedefine/>
    <w:semiHidden/>
    <w:qFormat/>
    <w:uiPriority w:val="99"/>
    <w:rPr>
      <w:rFonts w:ascii="宋体" w:hAnsi="宋体"/>
      <w:sz w:val="24"/>
    </w:rPr>
  </w:style>
  <w:style w:type="paragraph" w:customStyle="1" w:styleId="58">
    <w:name w:val="Char Char Char1 Char"/>
    <w:basedOn w:val="1"/>
    <w:autoRedefine/>
    <w:qFormat/>
    <w:uiPriority w:val="0"/>
    <w:pPr>
      <w:spacing w:line="240" w:lineRule="auto"/>
      <w:ind w:firstLine="0" w:firstLineChars="0"/>
    </w:pPr>
    <w:rPr>
      <w:rFonts w:ascii="Times New Roman" w:hAnsi="Times New Roman" w:eastAsia="宋体" w:cs="Times New Roman"/>
      <w:sz w:val="21"/>
      <w:szCs w:val="20"/>
    </w:rPr>
  </w:style>
  <w:style w:type="character" w:customStyle="1" w:styleId="59">
    <w:name w:val="15"/>
    <w:autoRedefine/>
    <w:qFormat/>
    <w:uiPriority w:val="0"/>
    <w:rPr>
      <w:rFonts w:hint="default" w:ascii="Times New Roman" w:hAnsi="Times New Roman" w:cs="Times New Roman"/>
      <w:b/>
    </w:rPr>
  </w:style>
  <w:style w:type="character" w:customStyle="1" w:styleId="60">
    <w:name w:val="批注文字 字符"/>
    <w:basedOn w:val="30"/>
    <w:link w:val="14"/>
    <w:autoRedefine/>
    <w:qFormat/>
    <w:uiPriority w:val="99"/>
    <w:rPr>
      <w:rFonts w:ascii="宋体" w:hAnsi="宋体"/>
      <w:sz w:val="24"/>
    </w:rPr>
  </w:style>
  <w:style w:type="character" w:customStyle="1" w:styleId="61">
    <w:name w:val="批注主题 字符"/>
    <w:basedOn w:val="60"/>
    <w:link w:val="27"/>
    <w:autoRedefine/>
    <w:semiHidden/>
    <w:qFormat/>
    <w:uiPriority w:val="99"/>
    <w:rPr>
      <w:rFonts w:ascii="宋体" w:hAnsi="宋体"/>
      <w:b/>
      <w:bCs/>
      <w:sz w:val="24"/>
    </w:rPr>
  </w:style>
  <w:style w:type="character" w:customStyle="1" w:styleId="62">
    <w:name w:val="不明显强调1"/>
    <w:basedOn w:val="30"/>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3">
    <w:name w:val="Table Text"/>
    <w:basedOn w:val="1"/>
    <w:semiHidden/>
    <w:qFormat/>
    <w:uiPriority w:val="0"/>
    <w:rPr>
      <w:rFonts w:ascii="仿宋" w:hAnsi="仿宋" w:eastAsia="仿宋" w:cs="仿宋"/>
      <w:sz w:val="24"/>
      <w:szCs w:val="24"/>
      <w:lang w:val="en-US" w:eastAsia="en-US" w:bidi="ar-SA"/>
    </w:rPr>
  </w:style>
  <w:style w:type="table" w:customStyle="1" w:styleId="64">
    <w:name w:val="Table Normal"/>
    <w:semiHidden/>
    <w:unhideWhenUsed/>
    <w:qFormat/>
    <w:uiPriority w:val="0"/>
    <w:tblPr>
      <w:tblCellMar>
        <w:top w:w="0" w:type="dxa"/>
        <w:left w:w="0" w:type="dxa"/>
        <w:bottom w:w="0" w:type="dxa"/>
        <w:right w:w="0" w:type="dxa"/>
      </w:tblCellMar>
    </w:tblPr>
  </w:style>
  <w:style w:type="paragraph" w:customStyle="1" w:styleId="65">
    <w:name w:val="Compact"/>
    <w:basedOn w:val="5"/>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34FB7-E588-4241-A191-F05739CBA19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7050</Words>
  <Characters>7506</Characters>
  <Lines>58</Lines>
  <Paragraphs>16</Paragraphs>
  <TotalTime>242</TotalTime>
  <ScaleCrop>false</ScaleCrop>
  <LinksUpToDate>false</LinksUpToDate>
  <CharactersWithSpaces>7534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2020-03-23T08:14:00Z</dcterms:created>
  <dc:creator>qq q</dc:creator>
  <cp:lastModifiedBy>biu 特  ful</cp:lastModifiedBy>
  <cp:lastPrinted>2022-06-18T00:44:00Z</cp:lastPrinted>
  <dcterms:modified xsi:type="dcterms:W3CDTF">2025-05-06T09:38:38Z</dcterms:modified>
  <cp:revision>411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91E825CB3EDF4F8B84CFC4EFA36066A1_13</vt:lpwstr>
  </property>
  <property fmtid="{D5CDD505-2E9C-101B-9397-08002B2CF9AE}" pid="4" name="KSOTemplateDocerSaveRecord">
    <vt:lpwstr>eyJoZGlkIjoiYjBhMWQ3Y2I2ODhkNDEwYmYyN2U3OTMxNGQxMzJmMTciLCJ1c2VySWQiOiI0MDgxNDU3MDUifQ==</vt:lpwstr>
  </property>
</Properties>
</file>