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3C737">
      <w:pPr>
        <w:spacing w:line="560" w:lineRule="exact"/>
        <w:ind w:firstLine="480" w:firstLineChars="200"/>
        <w:jc w:val="both"/>
        <w:rPr>
          <w:rFonts w:hint="eastAsia" w:ascii="Times New Roman"/>
          <w:b w:val="0"/>
          <w:bCs w:val="0"/>
          <w:sz w:val="24"/>
          <w:szCs w:val="24"/>
          <w:u w:val="none"/>
          <w:lang w:val="en-US" w:eastAsia="zh-CN"/>
        </w:rPr>
      </w:pPr>
      <w:r>
        <w:rPr>
          <w:rFonts w:hint="eastAsia" w:ascii="Times New Roman"/>
          <w:b w:val="0"/>
          <w:bCs w:val="0"/>
          <w:sz w:val="24"/>
          <w:szCs w:val="24"/>
          <w:u w:val="none"/>
          <w:lang w:val="en-US" w:eastAsia="zh-CN"/>
        </w:rPr>
        <w:t xml:space="preserve">  </w:t>
      </w:r>
    </w:p>
    <w:p w14:paraId="50855A75">
      <w:pPr>
        <w:spacing w:line="560" w:lineRule="exact"/>
        <w:jc w:val="center"/>
        <w:rPr>
          <w:b/>
          <w:bCs/>
          <w:sz w:val="36"/>
          <w:szCs w:val="36"/>
        </w:rPr>
      </w:pPr>
      <w:r>
        <w:rPr>
          <w:rFonts w:hint="eastAsia"/>
          <w:b/>
          <w:bCs/>
          <w:sz w:val="36"/>
          <w:szCs w:val="36"/>
        </w:rPr>
        <w:t>巴中市中医医院（巴中市巴州区人民医院）</w:t>
      </w:r>
    </w:p>
    <w:p w14:paraId="1784CCE7">
      <w:pPr>
        <w:spacing w:line="560" w:lineRule="exact"/>
        <w:ind w:firstLine="723" w:firstLineChars="200"/>
        <w:jc w:val="center"/>
        <w:rPr>
          <w:rFonts w:hint="eastAsia" w:ascii="Times New Roman"/>
          <w:b/>
          <w:bCs/>
          <w:sz w:val="36"/>
          <w:szCs w:val="36"/>
          <w:lang w:val="en-US" w:eastAsia="zh-CN"/>
        </w:rPr>
      </w:pPr>
      <w:bookmarkStart w:id="0" w:name="_GoBack"/>
      <w:r>
        <w:rPr>
          <w:rFonts w:hint="eastAsia" w:ascii="Times New Roman"/>
          <w:b/>
          <w:bCs/>
          <w:sz w:val="36"/>
          <w:szCs w:val="36"/>
        </w:rPr>
        <w:t>三级等保安全整改（网络安全服务）采购项目</w:t>
      </w:r>
      <w:r>
        <w:rPr>
          <w:rFonts w:hint="eastAsia" w:ascii="Times New Roman"/>
          <w:b/>
          <w:bCs/>
          <w:sz w:val="36"/>
          <w:szCs w:val="36"/>
          <w:lang w:val="en-US" w:eastAsia="zh-CN"/>
        </w:rPr>
        <w:t>参数应答表</w:t>
      </w:r>
    </w:p>
    <w:bookmarkEnd w:id="0"/>
    <w:tbl>
      <w:tblPr>
        <w:tblStyle w:val="4"/>
        <w:tblW w:w="13677"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79"/>
        <w:gridCol w:w="7765"/>
        <w:gridCol w:w="1094"/>
        <w:gridCol w:w="1094"/>
        <w:gridCol w:w="1094"/>
        <w:gridCol w:w="1094"/>
      </w:tblGrid>
      <w:tr w14:paraId="5CF2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7" w:type="dxa"/>
            <w:shd w:val="clear" w:color="auto" w:fill="B8CCE4"/>
            <w:tcMar>
              <w:top w:w="0" w:type="dxa"/>
              <w:left w:w="105" w:type="dxa"/>
              <w:bottom w:w="0" w:type="dxa"/>
              <w:right w:w="105" w:type="dxa"/>
            </w:tcMar>
            <w:vAlign w:val="center"/>
          </w:tcPr>
          <w:p w14:paraId="77B713D9">
            <w:pPr>
              <w:jc w:val="center"/>
              <w:rPr>
                <w:rFonts w:hint="eastAsia" w:ascii="宋体" w:hAnsi="宋体" w:eastAsia="宋体" w:cs="宋体"/>
                <w:b/>
                <w:bCs/>
                <w:sz w:val="20"/>
                <w:szCs w:val="20"/>
              </w:rPr>
            </w:pPr>
            <w:r>
              <w:rPr>
                <w:rFonts w:hint="eastAsia" w:ascii="宋体" w:hAnsi="宋体" w:eastAsia="宋体" w:cs="宋体"/>
                <w:b/>
                <w:bCs/>
                <w:sz w:val="20"/>
                <w:szCs w:val="20"/>
              </w:rPr>
              <w:t>服务名称</w:t>
            </w:r>
          </w:p>
        </w:tc>
        <w:tc>
          <w:tcPr>
            <w:tcW w:w="879" w:type="dxa"/>
            <w:shd w:val="clear" w:color="auto" w:fill="B8CCE4"/>
            <w:tcMar>
              <w:top w:w="0" w:type="dxa"/>
              <w:left w:w="105" w:type="dxa"/>
              <w:bottom w:w="0" w:type="dxa"/>
              <w:right w:w="105" w:type="dxa"/>
            </w:tcMar>
            <w:vAlign w:val="center"/>
          </w:tcPr>
          <w:p w14:paraId="0DD5B239">
            <w:pPr>
              <w:jc w:val="center"/>
              <w:rPr>
                <w:rFonts w:hint="eastAsia" w:ascii="宋体" w:hAnsi="宋体" w:eastAsia="宋体" w:cs="宋体"/>
                <w:b/>
                <w:bCs/>
                <w:sz w:val="20"/>
                <w:szCs w:val="20"/>
              </w:rPr>
            </w:pPr>
            <w:r>
              <w:rPr>
                <w:rFonts w:hint="eastAsia" w:ascii="宋体" w:hAnsi="宋体" w:eastAsia="宋体" w:cs="宋体"/>
                <w:b/>
                <w:bCs/>
                <w:sz w:val="20"/>
                <w:szCs w:val="20"/>
              </w:rPr>
              <w:t>服务</w:t>
            </w:r>
          </w:p>
          <w:p w14:paraId="68B72983">
            <w:pPr>
              <w:jc w:val="center"/>
              <w:rPr>
                <w:rFonts w:hint="eastAsia" w:ascii="宋体" w:hAnsi="宋体" w:eastAsia="宋体" w:cs="宋体"/>
                <w:b/>
                <w:bCs/>
                <w:sz w:val="20"/>
                <w:szCs w:val="20"/>
              </w:rPr>
            </w:pPr>
            <w:r>
              <w:rPr>
                <w:rFonts w:hint="eastAsia" w:ascii="宋体" w:hAnsi="宋体" w:eastAsia="宋体" w:cs="宋体"/>
                <w:b/>
                <w:bCs/>
                <w:sz w:val="20"/>
                <w:szCs w:val="20"/>
              </w:rPr>
              <w:t>细项</w:t>
            </w:r>
          </w:p>
        </w:tc>
        <w:tc>
          <w:tcPr>
            <w:tcW w:w="7765" w:type="dxa"/>
            <w:shd w:val="clear" w:color="auto" w:fill="B8CCE4"/>
            <w:tcMar>
              <w:top w:w="0" w:type="dxa"/>
              <w:left w:w="105" w:type="dxa"/>
              <w:bottom w:w="0" w:type="dxa"/>
              <w:right w:w="105" w:type="dxa"/>
            </w:tcMar>
            <w:vAlign w:val="center"/>
          </w:tcPr>
          <w:p w14:paraId="191FC013">
            <w:pPr>
              <w:pStyle w:val="7"/>
              <w:jc w:val="center"/>
              <w:rPr>
                <w:rFonts w:hint="eastAsia" w:ascii="宋体" w:hAnsi="宋体" w:eastAsia="宋体" w:cs="宋体"/>
                <w:b/>
                <w:bCs/>
                <w:sz w:val="20"/>
                <w:szCs w:val="20"/>
              </w:rPr>
            </w:pPr>
            <w:r>
              <w:rPr>
                <w:rFonts w:hint="eastAsia" w:ascii="宋体" w:hAnsi="宋体" w:eastAsia="宋体" w:cs="宋体"/>
                <w:b/>
                <w:bCs/>
                <w:color w:val="000000" w:themeColor="text1"/>
                <w:sz w:val="20"/>
                <w:szCs w:val="20"/>
                <w14:textFill>
                  <w14:solidFill>
                    <w14:schemeClr w14:val="tx1"/>
                  </w14:solidFill>
                </w14:textFill>
              </w:rPr>
              <w:t>服务内容</w:t>
            </w:r>
          </w:p>
        </w:tc>
        <w:tc>
          <w:tcPr>
            <w:tcW w:w="1094" w:type="dxa"/>
            <w:shd w:val="clear" w:color="auto" w:fill="B8CCE4"/>
            <w:tcMar>
              <w:top w:w="0" w:type="dxa"/>
              <w:left w:w="105" w:type="dxa"/>
              <w:bottom w:w="0" w:type="dxa"/>
              <w:right w:w="105" w:type="dxa"/>
            </w:tcMar>
            <w:vAlign w:val="center"/>
          </w:tcPr>
          <w:p w14:paraId="11533EC9">
            <w:pPr>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应答产品型号</w:t>
            </w:r>
          </w:p>
        </w:tc>
        <w:tc>
          <w:tcPr>
            <w:tcW w:w="1094" w:type="dxa"/>
            <w:shd w:val="clear" w:color="auto" w:fill="B8CCE4"/>
            <w:tcMar>
              <w:top w:w="0" w:type="dxa"/>
              <w:left w:w="105" w:type="dxa"/>
              <w:bottom w:w="0" w:type="dxa"/>
              <w:right w:w="105" w:type="dxa"/>
            </w:tcMar>
            <w:vAlign w:val="center"/>
          </w:tcPr>
          <w:p w14:paraId="3F0603A9">
            <w:pPr>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响应</w:t>
            </w:r>
          </w:p>
          <w:p w14:paraId="30E17F18">
            <w:pPr>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情况</w:t>
            </w:r>
          </w:p>
        </w:tc>
        <w:tc>
          <w:tcPr>
            <w:tcW w:w="1094" w:type="dxa"/>
            <w:shd w:val="clear" w:color="auto" w:fill="B8CCE4"/>
            <w:tcMar>
              <w:top w:w="0" w:type="dxa"/>
              <w:left w:w="105" w:type="dxa"/>
              <w:bottom w:w="0" w:type="dxa"/>
              <w:right w:w="105" w:type="dxa"/>
            </w:tcMar>
            <w:vAlign w:val="center"/>
          </w:tcPr>
          <w:p w14:paraId="2D74CB99">
            <w:pPr>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数量</w:t>
            </w:r>
          </w:p>
        </w:tc>
        <w:tc>
          <w:tcPr>
            <w:tcW w:w="1094" w:type="dxa"/>
            <w:shd w:val="clear" w:color="auto" w:fill="B8CCE4"/>
            <w:tcMar>
              <w:top w:w="0" w:type="dxa"/>
              <w:left w:w="105" w:type="dxa"/>
              <w:bottom w:w="0" w:type="dxa"/>
              <w:right w:w="105" w:type="dxa"/>
            </w:tcMar>
            <w:vAlign w:val="center"/>
          </w:tcPr>
          <w:p w14:paraId="23EC2C10">
            <w:pPr>
              <w:jc w:val="center"/>
              <w:rPr>
                <w:rFonts w:hint="eastAsia" w:ascii="宋体" w:hAnsi="宋体" w:eastAsia="宋体" w:cs="宋体"/>
                <w:b/>
                <w:bCs/>
                <w:sz w:val="20"/>
                <w:szCs w:val="20"/>
              </w:rPr>
            </w:pPr>
            <w:r>
              <w:rPr>
                <w:rFonts w:hint="eastAsia" w:ascii="宋体" w:hAnsi="宋体" w:eastAsia="宋体" w:cs="宋体"/>
                <w:b/>
                <w:bCs/>
                <w:sz w:val="20"/>
                <w:szCs w:val="20"/>
              </w:rPr>
              <w:t>备注</w:t>
            </w:r>
          </w:p>
        </w:tc>
      </w:tr>
      <w:tr w14:paraId="7FD1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657" w:type="dxa"/>
            <w:vMerge w:val="restart"/>
            <w:tcMar>
              <w:top w:w="0" w:type="dxa"/>
              <w:left w:w="105" w:type="dxa"/>
              <w:bottom w:w="0" w:type="dxa"/>
              <w:right w:w="105" w:type="dxa"/>
            </w:tcMar>
            <w:vAlign w:val="center"/>
          </w:tcPr>
          <w:p w14:paraId="0F82899D">
            <w:pPr>
              <w:rPr>
                <w:rFonts w:hint="eastAsia" w:ascii="宋体" w:hAnsi="宋体" w:eastAsia="宋体" w:cs="宋体"/>
                <w:sz w:val="20"/>
                <w:szCs w:val="20"/>
                <w:lang w:eastAsia="zh-CN"/>
              </w:rPr>
            </w:pPr>
            <w:r>
              <w:rPr>
                <w:rFonts w:hint="eastAsia" w:ascii="宋体" w:hAnsi="宋体" w:eastAsia="宋体" w:cs="宋体"/>
                <w:sz w:val="20"/>
                <w:szCs w:val="20"/>
              </w:rPr>
              <w:t>医院三级等保建设运营服务</w:t>
            </w:r>
          </w:p>
        </w:tc>
        <w:tc>
          <w:tcPr>
            <w:tcW w:w="879" w:type="dxa"/>
            <w:tcMar>
              <w:top w:w="0" w:type="dxa"/>
              <w:left w:w="105" w:type="dxa"/>
              <w:bottom w:w="0" w:type="dxa"/>
              <w:right w:w="105" w:type="dxa"/>
            </w:tcMar>
            <w:vAlign w:val="center"/>
          </w:tcPr>
          <w:p w14:paraId="599BBA3D">
            <w:pPr>
              <w:rPr>
                <w:rFonts w:hint="eastAsia" w:ascii="宋体" w:hAnsi="宋体" w:eastAsia="宋体" w:cs="宋体"/>
                <w:sz w:val="20"/>
                <w:szCs w:val="20"/>
              </w:rPr>
            </w:pPr>
            <w:r>
              <w:rPr>
                <w:rFonts w:hint="eastAsia" w:ascii="宋体" w:hAnsi="宋体" w:eastAsia="宋体" w:cs="宋体"/>
                <w:sz w:val="20"/>
                <w:szCs w:val="20"/>
                <w:lang w:eastAsia="zh-CN"/>
              </w:rPr>
              <w:t>核心链路保护服务</w:t>
            </w:r>
          </w:p>
        </w:tc>
        <w:tc>
          <w:tcPr>
            <w:tcW w:w="7765" w:type="dxa"/>
            <w:tcMar>
              <w:top w:w="0" w:type="dxa"/>
              <w:left w:w="105" w:type="dxa"/>
              <w:bottom w:w="0" w:type="dxa"/>
              <w:right w:w="105" w:type="dxa"/>
            </w:tcMar>
            <w:vAlign w:val="top"/>
          </w:tcPr>
          <w:p w14:paraId="2FDEA986">
            <w:pPr>
              <w:pStyle w:val="7"/>
              <w:numPr>
                <w:ilvl w:val="0"/>
                <w:numId w:val="1"/>
              </w:numPr>
              <w:ind w:firstLine="400" w:firstLineChars="20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固化千兆电口≥24个；万兆光口（SFP+）≥16个；25G光口（SFP28）≥8个；40G/100G混合端口（QSFP28）≥2个，业务口扩展插槽≥1个；配置可插拔电源模块，标配1+1冗余电源，支持高压直流输入；支持可插拔风扇模块≥2个；</w:t>
            </w:r>
          </w:p>
          <w:p w14:paraId="17FAC311">
            <w:pPr>
              <w:pStyle w:val="7"/>
              <w:numPr>
                <w:ilvl w:val="0"/>
                <w:numId w:val="1"/>
              </w:numPr>
              <w:ind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sz w:val="20"/>
                <w:szCs w:val="20"/>
                <w:lang w:eastAsia="zh-CN"/>
              </w:rPr>
              <w:t>MAC地址≥64K，支持4K VLAN ，交换容量≥2.56Tbps，包转发率≥960Mpps；</w:t>
            </w:r>
          </w:p>
          <w:p w14:paraId="310AA873">
            <w:pPr>
              <w:pStyle w:val="7"/>
              <w:numPr>
                <w:ilvl w:val="0"/>
                <w:numId w:val="1"/>
              </w:numPr>
              <w:ind w:firstLine="400" w:firstLineChars="20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支持支持Access、Trunk、Hybrid方式，支持基本QinQ和灵活QinQ，支持基于MAC的动态VLAN分配；支持RIP、OSPF、ISIS、BGP等IPv4动态路由协议，支持RIPng、OSPFv3、ISISv6、BGP4+等IPv6动态路由协议；支持STP（IEEE 802.1d），RSTP（IEEE 802.1w）和MSTP（IEEE 802.1s），支持ERPS以太环保护协议（G.8032）；</w:t>
            </w:r>
          </w:p>
          <w:p w14:paraId="6E5E7714">
            <w:pPr>
              <w:pStyle w:val="7"/>
              <w:numPr>
                <w:ilvl w:val="0"/>
                <w:numId w:val="1"/>
              </w:numPr>
              <w:ind w:firstLine="400" w:firstLineChars="20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支持云平台和手机APP统一进行管理、监控和远程配置，配置≥5年云管理授权。</w:t>
            </w:r>
          </w:p>
          <w:p w14:paraId="5777004B">
            <w:pPr>
              <w:pStyle w:val="7"/>
              <w:numPr>
                <w:ilvl w:val="0"/>
                <w:numId w:val="1"/>
              </w:numPr>
              <w:ind w:left="0" w:leftChars="0" w:firstLine="400" w:firstLineChars="200"/>
              <w:jc w:val="both"/>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sz w:val="20"/>
                <w:szCs w:val="20"/>
                <w:lang w:eastAsia="zh-CN"/>
              </w:rPr>
              <w:t>其他：根据服务需要提供的服务工具为双机冗余，配置≥25G高速堆叠模块及配套线缆，实现两套服务工具的链路聚合；软硬件维保≥5年，</w:t>
            </w:r>
            <w:r>
              <w:rPr>
                <w:rFonts w:hint="eastAsia" w:ascii="宋体" w:hAnsi="宋体" w:eastAsia="宋体" w:cs="宋体"/>
                <w:sz w:val="20"/>
                <w:szCs w:val="20"/>
              </w:rPr>
              <w:t>提供现场安装、培训，7*24小时远程技术支持，备用机服务。</w:t>
            </w:r>
          </w:p>
        </w:tc>
        <w:tc>
          <w:tcPr>
            <w:tcW w:w="1094" w:type="dxa"/>
            <w:tcMar>
              <w:top w:w="0" w:type="dxa"/>
              <w:left w:w="105" w:type="dxa"/>
              <w:bottom w:w="0" w:type="dxa"/>
              <w:right w:w="105" w:type="dxa"/>
            </w:tcMar>
            <w:vAlign w:val="center"/>
          </w:tcPr>
          <w:p w14:paraId="3715C4E7">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3C681EA">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259E585">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0DCD753F">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工具（提示：需提供两台核心交换机）</w:t>
            </w:r>
          </w:p>
        </w:tc>
      </w:tr>
      <w:tr w14:paraId="1BD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7" w:type="dxa"/>
            <w:vMerge w:val="continue"/>
            <w:tcMar>
              <w:top w:w="0" w:type="dxa"/>
              <w:left w:w="105" w:type="dxa"/>
              <w:bottom w:w="0" w:type="dxa"/>
              <w:right w:w="105" w:type="dxa"/>
            </w:tcMar>
            <w:vAlign w:val="center"/>
          </w:tcPr>
          <w:p w14:paraId="29260147">
            <w:pPr>
              <w:rPr>
                <w:rFonts w:hint="eastAsia" w:ascii="宋体" w:hAnsi="宋体" w:eastAsia="宋体" w:cs="宋体"/>
                <w:sz w:val="20"/>
                <w:szCs w:val="20"/>
                <w:lang w:eastAsia="zh-CN"/>
              </w:rPr>
            </w:pPr>
          </w:p>
        </w:tc>
        <w:tc>
          <w:tcPr>
            <w:tcW w:w="879" w:type="dxa"/>
            <w:tcMar>
              <w:top w:w="0" w:type="dxa"/>
              <w:left w:w="105" w:type="dxa"/>
              <w:bottom w:w="0" w:type="dxa"/>
              <w:right w:w="105" w:type="dxa"/>
            </w:tcMar>
            <w:vAlign w:val="center"/>
          </w:tcPr>
          <w:p w14:paraId="35FDD3A6">
            <w:pPr>
              <w:rPr>
                <w:rFonts w:hint="eastAsia" w:ascii="宋体" w:hAnsi="宋体" w:eastAsia="宋体" w:cs="宋体"/>
                <w:sz w:val="20"/>
                <w:szCs w:val="20"/>
                <w:lang w:eastAsia="zh-CN"/>
              </w:rPr>
            </w:pPr>
            <w:r>
              <w:rPr>
                <w:rFonts w:hint="eastAsia" w:ascii="宋体" w:hAnsi="宋体" w:eastAsia="宋体" w:cs="宋体"/>
                <w:sz w:val="20"/>
                <w:szCs w:val="20"/>
                <w:lang w:eastAsia="zh-CN"/>
              </w:rPr>
              <w:t>网络区域边界防护服务</w:t>
            </w:r>
          </w:p>
        </w:tc>
        <w:tc>
          <w:tcPr>
            <w:tcW w:w="7765" w:type="dxa"/>
            <w:tcMar>
              <w:top w:w="0" w:type="dxa"/>
              <w:left w:w="105" w:type="dxa"/>
              <w:bottom w:w="0" w:type="dxa"/>
              <w:right w:w="105" w:type="dxa"/>
            </w:tcMar>
            <w:vAlign w:val="top"/>
          </w:tcPr>
          <w:p w14:paraId="600853C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▲标准机架式设备≥1U，实配千兆光口≥4，万兆光口≥2，千兆电口≥6；IPSec VPN隧道≥4000，配置AV-IPS-URL特征库升级服务≥5年；电源≥2。</w:t>
            </w:r>
          </w:p>
          <w:p w14:paraId="0BF7C58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吞吐量≥4Gbps，最大并发连接数≥360万，每秒新建连接数≥8万,IPS吞吐量≥1.5Gbps；</w:t>
            </w:r>
          </w:p>
          <w:p w14:paraId="35E915D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设备关键芯片国产自研，保证设备安全可控；</w:t>
            </w:r>
          </w:p>
          <w:p w14:paraId="58500AB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支持与第三方平台对接，实现策略的命中，冗余分析及风险调优；</w:t>
            </w:r>
          </w:p>
          <w:p w14:paraId="381B4FF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系统预定义IPS签名数量≥8000，病毒库数量≥500w；</w:t>
            </w:r>
          </w:p>
          <w:p w14:paraId="483DF9F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支持HTTP、HTTPS、DNS、SIP等应用层Flood攻击，支持流量自学习功能；</w:t>
            </w:r>
          </w:p>
          <w:p w14:paraId="193BAA8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支持对常见应用服务（HTTP、FTP、SSH、SMTP、IMAP）和数据库软件（MySQL、Oracle、MSSQL）的口令暴力破解防护功能。</w:t>
            </w:r>
          </w:p>
          <w:p w14:paraId="007DC6BC">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★根据服务需要提供的安全服务工具为双机冗余；支持网口负载均衡，具有负载、主备等多种算法。软硬件维保≥5年，提供现场安装、培训，7*24小时远程技术支持，备用机服务。</w:t>
            </w:r>
          </w:p>
        </w:tc>
        <w:tc>
          <w:tcPr>
            <w:tcW w:w="1094" w:type="dxa"/>
            <w:tcMar>
              <w:top w:w="0" w:type="dxa"/>
              <w:left w:w="105" w:type="dxa"/>
              <w:bottom w:w="0" w:type="dxa"/>
              <w:right w:w="105" w:type="dxa"/>
            </w:tcMar>
            <w:vAlign w:val="center"/>
          </w:tcPr>
          <w:p w14:paraId="208DA3A5">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1BA638FF">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639862B">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0016D097">
            <w:pPr>
              <w:rPr>
                <w:rFonts w:hint="eastAsia" w:ascii="宋体" w:hAnsi="宋体" w:eastAsia="宋体" w:cs="宋体"/>
                <w:sz w:val="20"/>
                <w:szCs w:val="20"/>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工具（提示：需提供两台防火墙）</w:t>
            </w:r>
          </w:p>
        </w:tc>
      </w:tr>
      <w:tr w14:paraId="5CBA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657" w:type="dxa"/>
            <w:vMerge w:val="continue"/>
            <w:tcMar>
              <w:top w:w="0" w:type="dxa"/>
              <w:left w:w="105" w:type="dxa"/>
              <w:bottom w:w="0" w:type="dxa"/>
              <w:right w:w="105" w:type="dxa"/>
            </w:tcMar>
          </w:tcPr>
          <w:p w14:paraId="0F6FCE3E">
            <w:pPr>
              <w:rPr>
                <w:rFonts w:hint="eastAsia" w:ascii="宋体" w:hAnsi="宋体" w:eastAsia="宋体" w:cs="宋体"/>
                <w:sz w:val="20"/>
                <w:szCs w:val="20"/>
                <w:lang w:eastAsia="zh-CN"/>
              </w:rPr>
            </w:pPr>
          </w:p>
        </w:tc>
        <w:tc>
          <w:tcPr>
            <w:tcW w:w="879" w:type="dxa"/>
            <w:tcMar>
              <w:top w:w="0" w:type="dxa"/>
              <w:left w:w="105" w:type="dxa"/>
              <w:bottom w:w="0" w:type="dxa"/>
              <w:right w:w="105" w:type="dxa"/>
            </w:tcMar>
            <w:vAlign w:val="center"/>
          </w:tcPr>
          <w:p w14:paraId="65C1343B">
            <w:pPr>
              <w:rPr>
                <w:rFonts w:hint="eastAsia" w:ascii="宋体" w:hAnsi="宋体" w:eastAsia="宋体" w:cs="宋体"/>
                <w:sz w:val="20"/>
                <w:szCs w:val="20"/>
              </w:rPr>
            </w:pPr>
            <w:r>
              <w:rPr>
                <w:rFonts w:hint="eastAsia" w:ascii="宋体" w:hAnsi="宋体" w:eastAsia="宋体" w:cs="宋体"/>
                <w:sz w:val="20"/>
                <w:szCs w:val="20"/>
              </w:rPr>
              <w:t>内外边界物理隔离服务</w:t>
            </w:r>
          </w:p>
        </w:tc>
        <w:tc>
          <w:tcPr>
            <w:tcW w:w="7765" w:type="dxa"/>
            <w:tcMar>
              <w:top w:w="0" w:type="dxa"/>
              <w:left w:w="105" w:type="dxa"/>
              <w:bottom w:w="0" w:type="dxa"/>
              <w:right w:w="105" w:type="dxa"/>
            </w:tcMar>
            <w:vAlign w:val="top"/>
          </w:tcPr>
          <w:p w14:paraId="13B52D26">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内端机≥</w:t>
            </w: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个千兆电口、≥1个控制口、≥2个USB接口、≥2个扩展槽；外端机≥</w:t>
            </w: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个千兆电口、≥1个控制口、≥2个USB接口、≥2个扩展槽；网络吞吐≥1.8Gbps；系统延时&lt;1ms；MTBF≥50000小时 ；最大并发连接数≥300000;无用户数限制；配置冗余双电源。</w:t>
            </w:r>
          </w:p>
          <w:p w14:paraId="6A70DE2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提供访问控制服务，对象包括：源地址、目标地址、应用、时间、并发数等；支持内容关键字、文件类型过滤；支持病毒检测功能。</w:t>
            </w:r>
          </w:p>
          <w:p w14:paraId="271B813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提供ping 、traceroute、telnet、抓包等服务工具方便排查故障。</w:t>
            </w:r>
          </w:p>
          <w:p w14:paraId="4843646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提供服务工具有完整的审计日志：系统日志、管理日志、访问日志、攻击日志、内容过滤日志、文件交换日志、数据库交换日志；日志支持SYSLOG外传。</w:t>
            </w:r>
          </w:p>
          <w:p w14:paraId="4D57E41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▲提供数据库应用同步服务，无需另装同步软件；支持ORACLE、SQLSERVER、MYSQL、SYBASE、DB2、POSTGRESQL等多种主流数据库的同步，支持国产达梦数据库、人大金仓数据库的同步。</w:t>
            </w:r>
          </w:p>
          <w:p w14:paraId="2D849896">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▲提供数据库应用代理访问服务，支持的数据库种类包括ORACLE、SQLSERVER、MYSQL、SYBASE等主流数据库；可根据SQL命令进行控制，如不允许D E L E T E等。</w:t>
            </w:r>
          </w:p>
          <w:p w14:paraId="07DCCB9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提供文件同步服务，无需另装同步软件；支持单、双向同步；支持文件类型过滤；支持同步备份功能。</w:t>
            </w:r>
          </w:p>
          <w:p w14:paraId="175CF45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根据服务需要提供的安全服务设备支持工业应用协议交换，支持的协议至少包含MODUS、OPC、DNP3、S7等，对这些协议能进行应用指令控制，而并非只是开放端口，如只能读取，不能写入。</w:t>
            </w:r>
          </w:p>
          <w:p w14:paraId="38C02988">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提供时间模式配置交换策略服务，时间模式支持指定时间、指定星期，指定日期范围。</w:t>
            </w:r>
          </w:p>
          <w:p w14:paraId="4CF4AF9B">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★根据服务需要提供的安全服务工具为双机冗余；支持网口负载均衡，具有负载、主备等多种算法。包含≥5年软硬件维保服务，提供现场安装、培训，7*24小时远程技术支持，备用机服务。</w:t>
            </w:r>
          </w:p>
        </w:tc>
        <w:tc>
          <w:tcPr>
            <w:tcW w:w="1094" w:type="dxa"/>
            <w:tcMar>
              <w:top w:w="0" w:type="dxa"/>
              <w:left w:w="105" w:type="dxa"/>
              <w:bottom w:w="0" w:type="dxa"/>
              <w:right w:w="105" w:type="dxa"/>
            </w:tcMar>
            <w:vAlign w:val="center"/>
          </w:tcPr>
          <w:p w14:paraId="24FA7E4D">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24B28328">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20FC3766">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1937645">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工具（提示：需提供两台网闸）</w:t>
            </w:r>
          </w:p>
        </w:tc>
      </w:tr>
      <w:tr w14:paraId="6072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657" w:type="dxa"/>
            <w:vMerge w:val="continue"/>
            <w:tcMar>
              <w:top w:w="0" w:type="dxa"/>
              <w:left w:w="105" w:type="dxa"/>
              <w:bottom w:w="0" w:type="dxa"/>
              <w:right w:w="105" w:type="dxa"/>
            </w:tcMar>
          </w:tcPr>
          <w:p w14:paraId="7902D3B0">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2D9B1E59">
            <w:pPr>
              <w:rPr>
                <w:rFonts w:hint="eastAsia" w:ascii="宋体" w:hAnsi="宋体" w:eastAsia="宋体" w:cs="宋体"/>
                <w:sz w:val="20"/>
                <w:szCs w:val="20"/>
              </w:rPr>
            </w:pPr>
            <w:r>
              <w:rPr>
                <w:rFonts w:hint="eastAsia" w:ascii="宋体" w:hAnsi="宋体" w:eastAsia="宋体" w:cs="宋体"/>
                <w:sz w:val="20"/>
                <w:szCs w:val="20"/>
              </w:rPr>
              <w:t>数据库</w:t>
            </w:r>
            <w:r>
              <w:rPr>
                <w:rFonts w:hint="eastAsia" w:ascii="宋体" w:hAnsi="宋体" w:eastAsia="宋体" w:cs="宋体"/>
                <w:sz w:val="20"/>
                <w:szCs w:val="20"/>
                <w:lang w:eastAsia="zh-CN"/>
              </w:rPr>
              <w:t>访问</w:t>
            </w:r>
            <w:r>
              <w:rPr>
                <w:rFonts w:hint="eastAsia" w:ascii="宋体" w:hAnsi="宋体" w:eastAsia="宋体" w:cs="宋体"/>
                <w:sz w:val="20"/>
                <w:szCs w:val="20"/>
              </w:rPr>
              <w:t>审计服务</w:t>
            </w:r>
          </w:p>
        </w:tc>
        <w:tc>
          <w:tcPr>
            <w:tcW w:w="7765" w:type="dxa"/>
            <w:tcMar>
              <w:top w:w="0" w:type="dxa"/>
              <w:left w:w="105" w:type="dxa"/>
              <w:bottom w:w="0" w:type="dxa"/>
              <w:right w:w="105" w:type="dxa"/>
            </w:tcMar>
            <w:vAlign w:val="top"/>
          </w:tcPr>
          <w:p w14:paraId="47DC4DC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标配≥6个千兆电口，≥4个千兆SFP接口，≥2个扩展槽；可支持扩展4口/8口的千兆光或电模块，≥4T硬盘，默认支持≥16个数据库实例；最大日处理≥13000W条SQL明细;入库速度≥10000(条/秒);峰值事务处理能力≥20000(条/秒);日志存储量≥16亿条;配置冗余双电源。</w:t>
            </w:r>
          </w:p>
          <w:p w14:paraId="219AE7D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提供支持语句大小为30MB 内的超长语句的审计与展示服务，页面不仅展示超长语句全文，还可统计出语句大小；</w:t>
            </w:r>
          </w:p>
          <w:p w14:paraId="51CB8B32">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根据服务需要提供的安全服务设备支持系统自检功能且提供独立界面，当系统自身侦测到日志存储空间不足、昨日业务数据量超标、磁盘错误、license 过期、无配置备份、系统掉电、监听网卡断开等涵盖系统运维中的各项重要消息时，独立弹窗提示用户并包含快捷处理方式；</w:t>
            </w:r>
          </w:p>
          <w:p w14:paraId="7D4A054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SQL模板服务，系统能自动识别并抽取数据库句式语意相同但参数不同的语句，并通过独立页面展示，同时记录该模板的状态、触发规则名、总记录数、总告警数、上次告警记录数、上次出现时间、最后出现时间，并能设置该模板别名；</w:t>
            </w:r>
          </w:p>
          <w:p w14:paraId="713AD27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▲提供HIS厂商统方规则库，配置不同HIS系统的防统方服务，内置HIS系统≥15个；</w:t>
            </w:r>
          </w:p>
          <w:p w14:paraId="240E1DA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提供数据库审计与分析服务，支持Oracle，Microsoft SQL Server，DB2，Sybase, Informix、MySQL、Caché、Teradata、MongoDB ，人大金仓（Kingbase）、达梦(DM)、南大通用、神通等数据库的审计。可准确分析出这些数据库的协议，并支持对多种不同类型和不同版本的数据库的同时审计；</w:t>
            </w:r>
          </w:p>
          <w:p w14:paraId="509B1F4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提供在线回档服务，并查看历史归档数据。可通过历史数据回档客户端，在不删除现有审计数据的情况下查询设备挂载已归档数据。同时，无缝衔接系统查询模块，支持在线对归档数据多条件组合查询；</w:t>
            </w:r>
          </w:p>
          <w:p w14:paraId="2515D8B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查询服务，查询方式包含：普通查询、模糊查询、明细查询、词组查询、流水号查询等多种匹配命中方式，同时可叠加多种查询条件，其中包含会话语句种类、重复程度、耗时、数量、排除关键字及时段选择等，查询结果支持多种格式导出；</w:t>
            </w:r>
          </w:p>
          <w:p w14:paraId="0B513752">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事件告警服务，发现异常或非法行为。提供事件追踪页面，通过事件关联追踪排查事件，多维度定位事件状态，包括地点追踪、屏幕录像，且屏幕录像与该事件一一对应。支持快捷规则配置，如将此类语句设为安全、设为统方等；</w:t>
            </w:r>
          </w:p>
          <w:p w14:paraId="7DC159A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提供多种审计数据库响应服务，审计数据的多种响应方式，包含过滤、记录、windows 消息、邮件、syslog、SNMP、屏幕录像、网关联动等多种事件告警和提示方式，第一时间向负责人发送告警信息；</w:t>
            </w:r>
          </w:p>
          <w:p w14:paraId="0FE54B7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▲为保证数据库安全审计服务的技术先进性，根据服务需要提供的安全服务设备，采用在海量SQL 语句归并技术；</w:t>
            </w:r>
          </w:p>
          <w:p w14:paraId="51A75CC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提供审计数据中敏感数据的模糊化处理服务，系统内置常见敏感数据的掩码规则；</w:t>
            </w:r>
          </w:p>
          <w:p w14:paraId="5CA9B548">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★包含≥5年软硬件维保服务，提供现场安装、培训，7*24小时远程技术支持，备用机服务。</w:t>
            </w:r>
          </w:p>
        </w:tc>
        <w:tc>
          <w:tcPr>
            <w:tcW w:w="1094" w:type="dxa"/>
            <w:tcMar>
              <w:top w:w="0" w:type="dxa"/>
              <w:left w:w="105" w:type="dxa"/>
              <w:bottom w:w="0" w:type="dxa"/>
              <w:right w:w="105" w:type="dxa"/>
            </w:tcMar>
            <w:vAlign w:val="center"/>
          </w:tcPr>
          <w:p w14:paraId="12BE25C2">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2EAB1F0B">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3C569A57">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5AB4BF72">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工具（提示：需提供一台数据库审计设备）</w:t>
            </w:r>
          </w:p>
        </w:tc>
      </w:tr>
      <w:tr w14:paraId="11E6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657" w:type="dxa"/>
            <w:vMerge w:val="continue"/>
            <w:tcMar>
              <w:top w:w="0" w:type="dxa"/>
              <w:left w:w="105" w:type="dxa"/>
              <w:bottom w:w="0" w:type="dxa"/>
              <w:right w:w="105" w:type="dxa"/>
            </w:tcMar>
          </w:tcPr>
          <w:p w14:paraId="3235EB9F">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2687CE4E">
            <w:pPr>
              <w:rPr>
                <w:rFonts w:hint="eastAsia" w:ascii="宋体" w:hAnsi="宋体" w:eastAsia="宋体" w:cs="宋体"/>
                <w:sz w:val="20"/>
                <w:szCs w:val="20"/>
              </w:rPr>
            </w:pPr>
            <w:r>
              <w:rPr>
                <w:rFonts w:hint="eastAsia" w:ascii="宋体" w:hAnsi="宋体" w:eastAsia="宋体" w:cs="宋体"/>
                <w:sz w:val="20"/>
                <w:szCs w:val="20"/>
                <w:lang w:eastAsia="zh-CN"/>
              </w:rPr>
              <w:t>网络访问</w:t>
            </w:r>
            <w:r>
              <w:rPr>
                <w:rFonts w:hint="eastAsia" w:ascii="宋体" w:hAnsi="宋体" w:eastAsia="宋体" w:cs="宋体"/>
                <w:sz w:val="20"/>
                <w:szCs w:val="20"/>
              </w:rPr>
              <w:t>行为管理审计服务</w:t>
            </w:r>
          </w:p>
        </w:tc>
        <w:tc>
          <w:tcPr>
            <w:tcW w:w="7765" w:type="dxa"/>
            <w:tcMar>
              <w:top w:w="0" w:type="dxa"/>
              <w:left w:w="105" w:type="dxa"/>
              <w:bottom w:w="0" w:type="dxa"/>
              <w:right w:w="105" w:type="dxa"/>
            </w:tcMar>
            <w:vAlign w:val="top"/>
          </w:tcPr>
          <w:p w14:paraId="524F5115">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标准配置≥6个千兆电口，≥1个扩展槽、≥2个USB,≥1个控制口，≥1T硬盘。适用用户数≥1000人，网络吞吐量≥6G，最大并发连接数≥160万，每秒最大新建连接数≥50000；配置冗余双电源。</w:t>
            </w:r>
          </w:p>
          <w:p w14:paraId="21541E0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提供基于轮询的多链路负载均衡算法服务，支持基于链路的下行流量自动均衡的多链路负载均衡算法，支持基于最佳路径的多链路负载均衡算法。</w:t>
            </w:r>
          </w:p>
          <w:p w14:paraId="3DA4DFA2">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▲提供DOS/DDos攻击防护服务：支持Land、Smurf、WinNuke、Ping of Death、Tear Drop、IP数据块分片传输数据包攻击防护，支持ARP、SYN、UDP、ICMP、DNS洪水攻击防护，支持IP地址扫描和端口扫描攻击防护，支持异常报文攻击检测；</w:t>
            </w:r>
          </w:p>
          <w:p w14:paraId="1379DBB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提供身份认证服务：支持IP/MAC绑定认证；支持本地身份认证、短信认证、微信认证、钉钉认证等；短信认证支持HTTP协议认证，包括亿美短信、互亿无线、数米科技、互亿国际等。</w:t>
            </w:r>
          </w:p>
          <w:p w14:paraId="38AA50F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提供终端类型（PC，android，苹果等）识别服务，可识别手机操作系统和IP地址，并可将其添加到信任列表或者拒绝上网。</w:t>
            </w:r>
          </w:p>
          <w:p w14:paraId="4EF5CEE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提供准入控制服务：能够根据IM监控规则、操作系统规则、进程规则、文件规则、注册表规则等相关规则设置准入策略，对不符合要求的终端禁止上网。</w:t>
            </w:r>
          </w:p>
          <w:p w14:paraId="72562DB6">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黑名单服务：能够对网络共享行为进行检测，并把共享IP加入黑名单，例如无线路由器共享、360WIFI共享限制等；支持对流量配额、速率控制、并发会话数控制、新增会话数控制、基于时间段的控制等行为进行黑名单管控功能，同时支持多种惩罚方式、加倍惩罚机制。</w:t>
            </w:r>
          </w:p>
          <w:p w14:paraId="6581A78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▲提供协议剥离服务：支持将特殊协议（如L2TP、GRE、LWAPP、CAPWAP等）的协议头剥离掉，对特殊协议封装内的原始数据进行认证、审计和控制。</w:t>
            </w:r>
          </w:p>
          <w:p w14:paraId="31E854B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提供详细的告警服务，包含管理员操作日志、设备状态、流量异常、违规网站、违规帖子、违规文件上传、违规邮件发送以及潜在危害的行为告警。</w:t>
            </w:r>
          </w:p>
          <w:p w14:paraId="512EF15C">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★包含≥5年特征库升级服务和硬件维保服务，提供现场安装、培训，7*24小时远程技术支持，备用机服务。</w:t>
            </w:r>
          </w:p>
        </w:tc>
        <w:tc>
          <w:tcPr>
            <w:tcW w:w="1094" w:type="dxa"/>
            <w:tcMar>
              <w:top w:w="0" w:type="dxa"/>
              <w:left w:w="105" w:type="dxa"/>
              <w:bottom w:w="0" w:type="dxa"/>
              <w:right w:w="105" w:type="dxa"/>
            </w:tcMar>
            <w:vAlign w:val="center"/>
          </w:tcPr>
          <w:p w14:paraId="558E42D0">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2969B16E">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5BCB4102">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78071CA3">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工具（提示：需提供一台上网行为管理设备）</w:t>
            </w:r>
          </w:p>
        </w:tc>
      </w:tr>
      <w:tr w14:paraId="43E1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657" w:type="dxa"/>
            <w:vMerge w:val="continue"/>
            <w:tcMar>
              <w:top w:w="0" w:type="dxa"/>
              <w:left w:w="105" w:type="dxa"/>
              <w:bottom w:w="0" w:type="dxa"/>
              <w:right w:w="105" w:type="dxa"/>
            </w:tcMar>
          </w:tcPr>
          <w:p w14:paraId="036897F2">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476FC6D0">
            <w:pPr>
              <w:rPr>
                <w:rFonts w:hint="eastAsia" w:ascii="宋体" w:hAnsi="宋体" w:eastAsia="宋体" w:cs="宋体"/>
                <w:sz w:val="20"/>
                <w:szCs w:val="20"/>
              </w:rPr>
            </w:pPr>
            <w:r>
              <w:rPr>
                <w:rFonts w:hint="eastAsia" w:ascii="宋体" w:hAnsi="宋体" w:eastAsia="宋体" w:cs="宋体"/>
                <w:sz w:val="20"/>
                <w:szCs w:val="20"/>
                <w:lang w:eastAsia="zh-CN"/>
              </w:rPr>
              <w:t>网络安全状况</w:t>
            </w:r>
            <w:r>
              <w:rPr>
                <w:rFonts w:hint="eastAsia" w:ascii="宋体" w:hAnsi="宋体" w:eastAsia="宋体" w:cs="宋体"/>
                <w:sz w:val="20"/>
                <w:szCs w:val="20"/>
              </w:rPr>
              <w:t>检测服务</w:t>
            </w:r>
          </w:p>
        </w:tc>
        <w:tc>
          <w:tcPr>
            <w:tcW w:w="7765" w:type="dxa"/>
            <w:tcMar>
              <w:top w:w="0" w:type="dxa"/>
              <w:left w:w="105" w:type="dxa"/>
              <w:bottom w:w="0" w:type="dxa"/>
              <w:right w:w="105" w:type="dxa"/>
            </w:tcMar>
            <w:vAlign w:val="top"/>
          </w:tcPr>
          <w:p w14:paraId="20ABE9B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标配≥6个千兆电口，≥2个扩展槽；≥2个USB口，≥1个COM口，≥128G SSD固态盘，≥1T企业级硬盘；每秒TCP新建连接数≥18万，最大TCP并发会话数≥200万，整机吞吐率≥8Gbps，安全检测吞吐率≥2.5Gbps，配置冗余双电源。</w:t>
            </w:r>
          </w:p>
          <w:p w14:paraId="02EF78A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提供威胁文件展示服务，服务包含展示选定时间内的文件检测威胁趋势、危险文件总数、危险文件下载源IP Top10、危险文件下载目标IP Top10、病毒文件类型、文件关联邮箱、文件关联URL、文件报告列表，提供病毒文件样本下载功能；</w:t>
            </w:r>
          </w:p>
          <w:p w14:paraId="6817DE1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提供探测扫描展示服务，服务包含展示选定时间内的扫描探测趋势、扫描探测总数、扫描探测源IP Top10、扫描探测目的IP Top10、扫描探测详细信息；</w:t>
            </w:r>
          </w:p>
          <w:p w14:paraId="7DCB599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事件详情查看服务，事件详情查看中以分类规整方式动态嵌入与之相关的攻击证据，并能实现证据内容的无限次数的钻取。分类方式应包括：尝试获取用户信息、疑似敏感行为、尝试获取用户权限、疑似Web应用攻击、疑似木马活动、病毒扫描、协议异常、网络扫描、异常连接等；</w:t>
            </w:r>
          </w:p>
          <w:p w14:paraId="502FE49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提供恶意外联展示服务，展示选定时间内的恶意外联趋势、恶意外联总数、恶意外联活跃域名统计 Top10、恶意外联源IP Top10、恶意外联关系图、恶意外联类型、恶意外联详细信息等；</w:t>
            </w:r>
          </w:p>
          <w:p w14:paraId="17A42E2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提供Web攻击展示服务，展示选定时间内的Web攻击趋势、Web攻击总数、Web攻击源IP Top10、Web攻击目的IP Top10、Web攻击URL统计、Web攻击返回码统计、Web攻击类型统计、Web攻击详情等；</w:t>
            </w:r>
          </w:p>
          <w:p w14:paraId="794CB6A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提供代理解析服务，当服务器前端部署代理设备或CDN时，通过配置源IP解析规则，获取真实的攻击源IP地址，支持配置规则名称、解析方法、解析字段、代理级数、规则状态等信息；</w:t>
            </w:r>
          </w:p>
          <w:p w14:paraId="36B996C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 xml:space="preserve">提供漏洞检测服务，能够识别敏感信息泄漏漏洞、Oracle SQL注入漏洞、MySQL SQL注入漏洞、SQL Server SQL注入漏洞、远程代码执行漏洞、OpenSSL心脏出血漏洞、反序列化漏洞等高危漏洞； </w:t>
            </w:r>
          </w:p>
          <w:p w14:paraId="1AAA8C5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▲为保证对海量数据的风险检测能力，安全服务工具有采用在海量审计数据中发现异常的技术。</w:t>
            </w:r>
          </w:p>
          <w:p w14:paraId="4916970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提供勒索病毒检测服务，能够识别Wannacry、Satan、GandCrab、GlobeImposter等勒索病毒；</w:t>
            </w:r>
          </w:p>
          <w:p w14:paraId="25CA771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提供挖矿木马检测服务，能够识别CryptoLoot、Webmine、Coinhive等网页挖矿行为；</w:t>
            </w:r>
          </w:p>
          <w:p w14:paraId="04A1FC1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▲提供提取告警日志文件服务，支持提取触发网络入侵攻击告警的Pcap元数据；</w:t>
            </w:r>
          </w:p>
          <w:p w14:paraId="3C2D051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提供入侵检测服务，能够识别成功的Webshell攻击、远程代码执行漏洞攻击、命令注入等攻击行为。</w:t>
            </w:r>
          </w:p>
          <w:p w14:paraId="32B24AD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提供多种告警服务，支持Syslog告警、邮件告警、SNMP Trap、网关联动、Windows告警、态势感知系统联动等事件响应策略；</w:t>
            </w:r>
          </w:p>
          <w:p w14:paraId="57334BCF">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★包含≥5年特征库升级服务和硬件维保服务，提供现场安装、培训，7*24小时远程技术支持，备用机服务。</w:t>
            </w:r>
          </w:p>
        </w:tc>
        <w:tc>
          <w:tcPr>
            <w:tcW w:w="1094" w:type="dxa"/>
            <w:tcMar>
              <w:top w:w="0" w:type="dxa"/>
              <w:left w:w="105" w:type="dxa"/>
              <w:bottom w:w="0" w:type="dxa"/>
              <w:right w:w="105" w:type="dxa"/>
            </w:tcMar>
            <w:vAlign w:val="center"/>
          </w:tcPr>
          <w:p w14:paraId="16D2945B">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573AAD69">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CB818E4">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6BF13A69">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工具（提示：需提供一台入侵检测设备）</w:t>
            </w:r>
          </w:p>
        </w:tc>
      </w:tr>
      <w:tr w14:paraId="2FE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57" w:type="dxa"/>
            <w:vMerge w:val="continue"/>
            <w:tcMar>
              <w:top w:w="0" w:type="dxa"/>
              <w:left w:w="105" w:type="dxa"/>
              <w:bottom w:w="0" w:type="dxa"/>
              <w:right w:w="105" w:type="dxa"/>
            </w:tcMar>
          </w:tcPr>
          <w:p w14:paraId="222BDBF5">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3EAED049">
            <w:pPr>
              <w:rPr>
                <w:rFonts w:hint="eastAsia" w:ascii="宋体" w:hAnsi="宋体" w:eastAsia="宋体" w:cs="宋体"/>
                <w:sz w:val="20"/>
                <w:szCs w:val="20"/>
                <w:lang w:eastAsia="zh-CN"/>
              </w:rPr>
            </w:pPr>
            <w:r>
              <w:rPr>
                <w:rFonts w:hint="eastAsia" w:ascii="宋体" w:hAnsi="宋体" w:eastAsia="宋体" w:cs="宋体"/>
                <w:sz w:val="20"/>
                <w:szCs w:val="20"/>
                <w:lang w:eastAsia="zh-CN"/>
              </w:rPr>
              <w:t>重要资产运行日志审计服务</w:t>
            </w:r>
          </w:p>
        </w:tc>
        <w:tc>
          <w:tcPr>
            <w:tcW w:w="7765" w:type="dxa"/>
            <w:tcMar>
              <w:top w:w="0" w:type="dxa"/>
              <w:left w:w="105" w:type="dxa"/>
              <w:bottom w:w="0" w:type="dxa"/>
              <w:right w:w="105" w:type="dxa"/>
            </w:tcMar>
            <w:vAlign w:val="top"/>
          </w:tcPr>
          <w:p w14:paraId="680B55D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标准配置≥6个千兆电口、≥1个扩展槽，≥2个USB口,≥1个控制口，≥4T硬盘；日志源授权点数≥100点；日志处理性能≥15G/天；平均≥5000EPS，峰值≥10000EPS；配置冗余双电源。</w:t>
            </w:r>
          </w:p>
          <w:p w14:paraId="45A48E4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提供灵活多样的日志检索服务，可根据日志的级别、IP、端口、类型、编号、用户名、地理位置等属性进行组合精确查询；支持自建表达式的高级检索方式；</w:t>
            </w:r>
          </w:p>
          <w:p w14:paraId="7E599AC8">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提供多种日志采集服务，支持Syslog、SNMP Trap、文件导入、WMI、SMB、数据库等日志采集方式；</w:t>
            </w:r>
          </w:p>
          <w:p w14:paraId="4F52D59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置500+主流厂商设备日志范式化解析策略，主机、网络设备、安全设备、中间件、数据库、应用系统、虚拟化平台主流设备自识别接入，解析设备品牌包含但不限于：华为、H3C、深信服、天融信、绿盟、黑盾、锐捷等；对windows/linux日志以及设备进行解析以及挖掘关联关系；针对匹配的多条解析范化策略，设置策略优先级，实现灵活操作；界面新增、删除、修改、查询解析规则；导入、导出范式化解析规则。</w:t>
            </w:r>
          </w:p>
          <w:p w14:paraId="71FF3D5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 xml:space="preserve">提供日志重新定义服务，可配置策略，根据设备名、类别、级别、IP、端口、MAC、动作等组合条件对事件严重级别进行重定义； </w:t>
            </w:r>
          </w:p>
          <w:p w14:paraId="7674289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提供日志采集过滤服务，可配置过滤策略，根据设备名、类别、级别、IP、端口、MAC、动作等组合条件进行过滤，减少日志采集量；</w:t>
            </w:r>
          </w:p>
          <w:p w14:paraId="5CFCAB0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▲提供内置关联分析服务，可基于规则、基于统计等方式对日志进行关联；支持基于异常统计模型的检查分析功能，如：识别异常的流量等；</w:t>
            </w:r>
          </w:p>
          <w:p w14:paraId="6E87036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提供报表模板服务，可设置报表执行周期计划，定期生成报表并发送到指定邮箱；报表支持PDF、WORD、EXCEL、HTML等格式；</w:t>
            </w:r>
          </w:p>
          <w:p w14:paraId="0BC69CA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▲提供威胁情报碰撞，能够结合源IP情报标签、目的IP情报标关联分标签、源IP情报判定、目的IP情报判定，结合日志进行关联分析，提升告警的精准度；</w:t>
            </w:r>
          </w:p>
          <w:p w14:paraId="3B85DBF8">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根据服务需要提供的安全服务设备支持系统数据库自动备份功能，可将数据库定期备份到NFS；</w:t>
            </w:r>
          </w:p>
          <w:p w14:paraId="6934CF41">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★包含≥5年软硬件维保服务，提供现场安装、培训，7*24小时远程技术支持，备用机服务。</w:t>
            </w:r>
          </w:p>
        </w:tc>
        <w:tc>
          <w:tcPr>
            <w:tcW w:w="1094" w:type="dxa"/>
            <w:tcMar>
              <w:top w:w="0" w:type="dxa"/>
              <w:left w:w="105" w:type="dxa"/>
              <w:bottom w:w="0" w:type="dxa"/>
              <w:right w:w="105" w:type="dxa"/>
            </w:tcMar>
            <w:vAlign w:val="center"/>
          </w:tcPr>
          <w:p w14:paraId="5BC80930">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5A8516EA">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32C47A5B">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9EE94B1">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工具（提示：需提供一台日志审计设备）</w:t>
            </w:r>
          </w:p>
        </w:tc>
      </w:tr>
      <w:tr w14:paraId="3ACF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657" w:type="dxa"/>
            <w:vMerge w:val="continue"/>
            <w:tcMar>
              <w:top w:w="0" w:type="dxa"/>
              <w:left w:w="105" w:type="dxa"/>
              <w:bottom w:w="0" w:type="dxa"/>
              <w:right w:w="105" w:type="dxa"/>
            </w:tcMar>
          </w:tcPr>
          <w:p w14:paraId="611CB397">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277A5634">
            <w:pPr>
              <w:rPr>
                <w:rFonts w:hint="eastAsia" w:ascii="宋体" w:hAnsi="宋体" w:eastAsia="宋体" w:cs="宋体"/>
                <w:sz w:val="20"/>
                <w:szCs w:val="20"/>
              </w:rPr>
            </w:pPr>
            <w:r>
              <w:rPr>
                <w:rFonts w:hint="eastAsia" w:ascii="宋体" w:hAnsi="宋体" w:eastAsia="宋体" w:cs="宋体"/>
                <w:sz w:val="20"/>
                <w:szCs w:val="20"/>
                <w:lang w:eastAsia="zh-CN"/>
              </w:rPr>
              <w:t>数据安全服务</w:t>
            </w:r>
          </w:p>
        </w:tc>
        <w:tc>
          <w:tcPr>
            <w:tcW w:w="7765" w:type="dxa"/>
            <w:tcMar>
              <w:top w:w="0" w:type="dxa"/>
              <w:left w:w="105" w:type="dxa"/>
              <w:bottom w:w="0" w:type="dxa"/>
              <w:right w:w="105" w:type="dxa"/>
            </w:tcMar>
            <w:vAlign w:val="top"/>
          </w:tcPr>
          <w:p w14:paraId="3E83EA86">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 xml:space="preserve">配置≥2颗高性能处理器，核数≥10核20线程，配置≥128GB内存；配备≥2块480G SSD；≥8块8TB SAS HDD数据盘，前端支持≥12个3.5寸SATA/SAS数据硬盘，配置掉电保护功能RAID卡≥1张（缓存≥2G），支持RAID0、1、5等多种RAID级别。千兆电接口网卡≥2个，万兆光接口网卡≥2个（含万兆多模光模块），配置冗余双电源； </w:t>
            </w:r>
          </w:p>
          <w:p w14:paraId="24D031A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★配置≥50TB备份容量授权，不限制前端个数的定时与实时备份数量；授权功能包含数据重删压缩、永久增量、数据副本、大屏监控、备份数据防勒索等功能模块；</w:t>
            </w:r>
          </w:p>
          <w:p w14:paraId="04A38CE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支持主流市场国内外主流虚拟化平台的免代理备份，支持Vmware vSphere、FusionCompute、H3C CAS等虚拟化平台的备份恢复，备份过程中无需在VM中安装任何代理，支持单机和集群部署环境；</w:t>
            </w:r>
          </w:p>
          <w:p w14:paraId="3E37358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▲支持虚拟机快速恢复，无需恢复全量备份数据，直接挂载备份数据到云平台即可运行，支持Vmware vSphere、FusionCompute、H3C CAS等虚拟化平台，实现分钟级恢复，保障业务连续性；</w:t>
            </w:r>
          </w:p>
          <w:p w14:paraId="28770FA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▲支持批量虚拟机备份捕获时间点状态功能，支持同时捕获后传输和分别捕获传输数据方式，满足用户对数据一致性或宿主机负载的不同需求；</w:t>
            </w:r>
          </w:p>
          <w:p w14:paraId="5D5D68F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支持Vmware vSphere、FusionCompute、H3C CAS等虚拟机自定义指定磁盘备份，减少备份数据量降低后端存储占用空间；</w:t>
            </w:r>
          </w:p>
          <w:p w14:paraId="7361504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支持Vmware vSphere、FusionCompute、H3C CAS等虚拟机备份获取源端真实数据，减少备份数据量降低网络传输负载以及备份存储空间占用；</w:t>
            </w:r>
          </w:p>
          <w:p w14:paraId="5EA7E80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支持主流Windows、linux、国产Kylin、UOS、Anolis OS、openEuler、中科方德等操作系统整机、文件备份；</w:t>
            </w:r>
          </w:p>
          <w:p w14:paraId="0F8F2912">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支持主流的数据库备份恢复，包括：Oracle、SQL Server、MySQL、MairaDB、PostgreSQL等主流数据库的应用级备份，备份任务配置过程全部图形化向导指引完成，无需编写任何的脚本；</w:t>
            </w:r>
          </w:p>
          <w:p w14:paraId="4F07CB4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支持Windows、Linux等系统的整机实时复制，可将生产服务器上数据卷的数据变化实时复制到备份系统上，数据恢复无需重新安装配置操作系统和应用软件，支持自动分区无需手动分区；</w:t>
            </w:r>
          </w:p>
          <w:p w14:paraId="3D4C0EE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▲支持主机数据库应用自动识别，支持进行整机持续保护时数据库一致点的捕获，保证数据库一致性，防止进行恢复后数据库无法启动；</w:t>
            </w:r>
          </w:p>
          <w:p w14:paraId="0E3840C8">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▲支持实时备份任务配置缓存目录空间，支持不少于两种缓存架构的配置方式，支持自定义空间大小；</w:t>
            </w:r>
          </w:p>
          <w:p w14:paraId="5CFBA3D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配置大屏实时监控功能，能够监控系统的各项关键指标，包括不限于CPU使用率、内存使用率、存储空间使用、任务类型、备份进度、备份速度、任务状态等，便于管理员随时掌握系统的运行状况；</w:t>
            </w:r>
          </w:p>
          <w:p w14:paraId="593AAF7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 xml:space="preserve">系统具备对备份数据集进行图形化管理，可以通过标识信息追溯到备份数据时间点、备份类型、数据大小、所在位置等信息； </w:t>
            </w:r>
          </w:p>
          <w:p w14:paraId="2D2A6FA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备份平台提供防勒索机制，支持备份数据的不可变存储功能，避免病毒篡改、删除数据；</w:t>
            </w:r>
          </w:p>
          <w:p w14:paraId="60609AED">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★提供不少于五年软硬件设备的维保售后服务，提供现场安装、培训，7*24小时远程技术支持，备用机服务。</w:t>
            </w:r>
          </w:p>
        </w:tc>
        <w:tc>
          <w:tcPr>
            <w:tcW w:w="1094" w:type="dxa"/>
            <w:tcMar>
              <w:top w:w="0" w:type="dxa"/>
              <w:left w:w="105" w:type="dxa"/>
              <w:bottom w:w="0" w:type="dxa"/>
              <w:right w:w="105" w:type="dxa"/>
            </w:tcMar>
            <w:vAlign w:val="center"/>
          </w:tcPr>
          <w:p w14:paraId="12342A81">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6E1E9CFE">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6DB010A8">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27A9B4F9">
            <w:pPr>
              <w:rPr>
                <w:rFonts w:hint="eastAsia" w:ascii="宋体" w:hAnsi="宋体" w:eastAsia="宋体" w:cs="宋体"/>
                <w:sz w:val="20"/>
                <w:szCs w:val="20"/>
                <w:lang w:eastAsia="zh-CN"/>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工具（提示：需提供一套一体化实时备份设备）</w:t>
            </w:r>
          </w:p>
        </w:tc>
      </w:tr>
      <w:tr w14:paraId="7FFE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657" w:type="dxa"/>
            <w:vMerge w:val="continue"/>
            <w:tcMar>
              <w:top w:w="0" w:type="dxa"/>
              <w:left w:w="105" w:type="dxa"/>
              <w:bottom w:w="0" w:type="dxa"/>
              <w:right w:w="105" w:type="dxa"/>
            </w:tcMar>
          </w:tcPr>
          <w:p w14:paraId="744C4D7B">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64CC88E2">
            <w:pPr>
              <w:rPr>
                <w:rFonts w:hint="eastAsia" w:ascii="宋体" w:hAnsi="宋体" w:eastAsia="宋体" w:cs="宋体"/>
                <w:sz w:val="20"/>
                <w:szCs w:val="20"/>
                <w:lang w:eastAsia="zh-CN"/>
              </w:rPr>
            </w:pPr>
            <w:r>
              <w:rPr>
                <w:rFonts w:hint="eastAsia" w:ascii="宋体" w:hAnsi="宋体" w:eastAsia="宋体" w:cs="宋体"/>
                <w:sz w:val="20"/>
                <w:szCs w:val="20"/>
                <w:lang w:eastAsia="zh-CN"/>
              </w:rPr>
              <w:t>终端安全管理服务</w:t>
            </w:r>
          </w:p>
        </w:tc>
        <w:tc>
          <w:tcPr>
            <w:tcW w:w="7765" w:type="dxa"/>
            <w:tcMar>
              <w:top w:w="0" w:type="dxa"/>
              <w:left w:w="105" w:type="dxa"/>
              <w:bottom w:w="0" w:type="dxa"/>
              <w:right w:w="105" w:type="dxa"/>
            </w:tcMar>
            <w:vAlign w:val="top"/>
          </w:tcPr>
          <w:p w14:paraId="16F2B14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系统支持C/S、B/S等主流架构设计。支持部署在Linux、windows等服务器操作系统上，系统支持多台服务器部署在不同服务器操作系统上，从而实现多操作系统平台双机热备，解决服务器单点故障风险，实现跨平台备份。客户端支持Linux、Windows、macOS、安卓、信创（如：统信、麒麟）等操作系统；软件授权数量≥800用户，提供≥5年系统升级维护服务，提供现场安装、培训，7*24小时技术支持。</w:t>
            </w:r>
          </w:p>
          <w:p w14:paraId="626FA47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系统功能支持移动存储管理、文档防勒索、设备管理、资产管理、网络管理、终端安全配置、应用程序管控、桌面管理、补丁管理、文档安全管理等功能。</w:t>
            </w:r>
          </w:p>
          <w:p w14:paraId="6053576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禁用U盘、移动硬盘、智能手机、所有USB存储设备和使用所有USB外接设备功能，同时支持指定部门/用户可以使用特定设备。USB移动存储管理支持禁用、只读、只写和加密等管控模式。包含USB设备插入日志、USB设备使用申请审批日志和USB设备文档操作日志。支持实名认证U盘注册和U盘使用申请，针对注册过的U盘可做使用权限特殊处理。加密U盘支持内部使用和外部授权使用两种管理模式。</w:t>
            </w:r>
          </w:p>
          <w:p w14:paraId="1DEAE86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▲支持终端文档防勒索功能，创建安全程序特征指纹库，精确鉴别应用程序身份信息，阻断一切非法程序对文档的访问。</w:t>
            </w:r>
          </w:p>
          <w:p w14:paraId="5CAADB5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自动收集终端计算机硬件型号、性能、品牌、出厂时间等信息，采集CPU内核、线程、名称、封装、工艺、规格、系列、扩展系列、型号、扩展型号、步进、修订号、指令、虚拟化、超线程、风扇速度、总线速度等信息。</w:t>
            </w:r>
          </w:p>
          <w:p w14:paraId="5E68B39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支持流量控制功能实时限制计算机的通信流量，支持上传、下载分别控制，支持全局流量控制及应用程序单独控制。</w:t>
            </w:r>
          </w:p>
          <w:p w14:paraId="4494AD3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禁止关闭系统防火墙、来宾账户、注册表编辑器、敏感注册表项、文件共享、控制面板、任务管理器、安全模式、截取屏幕、计算机管理、服务管理、组策略、修改IP地址和修改计算机名称等功能。支持与服务器系统时间同步功能。支持开启账户密码策略。</w:t>
            </w:r>
          </w:p>
          <w:p w14:paraId="7EDBC18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▲注册表防篡改支持禁止恶意程序修改敏感注册表项，系统内置关键注册表项，同时支持自定义添加敏感注册表项。</w:t>
            </w:r>
          </w:p>
          <w:p w14:paraId="10C03D3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应用程序黑名单、白名单功能和支持禁止新安装软件，禁止安装软件情况下支持申请安装，支持客户端使用企业软件库。支持应用程序管控支持按进程名称、公司名称和唯一标识三种管控模式。支持应用程序库，自动收集全网所有应用程序及按公司名、安装目录和进程名称自动分组。</w:t>
            </w:r>
          </w:p>
          <w:p w14:paraId="0E6CC72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支持屏幕水印设置、桌面壁纸设置、屏幕保护程序设置、自动锁屏设置、定时关机重启设置。屏幕水印支持文字水印、点阵式水印、窗口水印，同时屏幕水印支持置底显示。</w:t>
            </w:r>
          </w:p>
          <w:p w14:paraId="2AFC42B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提供漏洞检测平台及统一分布式下发管理组件，检测终端计算机操作系统漏洞和自动更新安装操作系统补丁。</w:t>
            </w:r>
          </w:p>
          <w:p w14:paraId="1CFBC36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敏感信息报警功能包含窗口标题、邮件内容、文件名称、打印文档标题、网页标题、网页搜索和聊天内容报警。支持敏感文件扫描审查，采用多关键字综合打分制，可以创建全网敏感文件审查任务，查看涉敏客户端、涉敏文件及涉敏文件上下文。</w:t>
            </w:r>
          </w:p>
          <w:p w14:paraId="79A83FF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禁止聊天程序、邮件客户端、浏览器或自定义程序发送文件，同时支持仅限制敏感文件外发和阻断和阻断时上报日志。远程调试客户端功能支持强制远程控制、交互模式、旁观模式、兼容模式和独占输入等管控模式。支持多网段、跨NAT及互联网环境，同时提供通过手机App远程操控客户端计算机。支持远程开机功能，支持定时周期远程开机设置，同时支持跨网段、跨VLAN远程开机。</w:t>
            </w:r>
          </w:p>
          <w:p w14:paraId="388D135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支持软件分发功能，支持断点续传及下发软件执行参数配置。支持实时文件传输、快捷键、命令行下达。支持多客户端发送远程消息，支持同时查看多个客户端屏幕，支持远程关闭、重启、卸载客户端计算机。</w:t>
            </w:r>
          </w:p>
          <w:p w14:paraId="4092819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支持磁盘管理工具，控制台在客户端无感知情况下，同Windows本地资源管理器方式显示磁盘信息，并对磁盘文件进行查看、打开、删除、上传、下载、加密、解密。</w:t>
            </w:r>
          </w:p>
          <w:p w14:paraId="3E062BA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操作系统账户管理工具，支持控制台强制启用、禁用客户端Windows操作系统账户，重置Windows系统所有账户密码。</w:t>
            </w:r>
          </w:p>
          <w:p w14:paraId="41971C4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支持文档操作审计、文档打印审计、剪贴板使用审计、光盘刻录审计、邮件发送审计、即时聊天审计、上传下载审计和屏幕录像，支持审计附件原文件上传服务器。</w:t>
            </w:r>
          </w:p>
          <w:p w14:paraId="2FD00CA4">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账户管理提供权限描述符功能，在已有客户端和功能授权的基础上去掉一些特殊权限，如对指定客户端的强制远程、禁止卸载客户端等。</w:t>
            </w:r>
          </w:p>
        </w:tc>
        <w:tc>
          <w:tcPr>
            <w:tcW w:w="1094" w:type="dxa"/>
            <w:tcMar>
              <w:top w:w="0" w:type="dxa"/>
              <w:left w:w="105" w:type="dxa"/>
              <w:bottom w:w="0" w:type="dxa"/>
              <w:right w:w="105" w:type="dxa"/>
            </w:tcMar>
            <w:vAlign w:val="center"/>
          </w:tcPr>
          <w:p w14:paraId="1E204BDF">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1BA68456">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422A6C34">
            <w:pPr>
              <w:rPr>
                <w:rFonts w:hint="eastAsia" w:ascii="宋体" w:hAnsi="宋体" w:eastAsia="宋体" w:cs="宋体"/>
                <w:sz w:val="20"/>
                <w:szCs w:val="20"/>
              </w:rPr>
            </w:pPr>
          </w:p>
        </w:tc>
        <w:tc>
          <w:tcPr>
            <w:tcW w:w="1094" w:type="dxa"/>
            <w:tcMar>
              <w:top w:w="0" w:type="dxa"/>
              <w:left w:w="105" w:type="dxa"/>
              <w:bottom w:w="0" w:type="dxa"/>
              <w:right w:w="105" w:type="dxa"/>
            </w:tcMar>
            <w:vAlign w:val="center"/>
          </w:tcPr>
          <w:p w14:paraId="6BCFCE7D">
            <w:pPr>
              <w:rPr>
                <w:rFonts w:hint="eastAsia" w:ascii="宋体" w:hAnsi="宋体" w:eastAsia="宋体" w:cs="宋体"/>
                <w:sz w:val="20"/>
                <w:szCs w:val="20"/>
              </w:rPr>
            </w:pPr>
            <w:r>
              <w:rPr>
                <w:rFonts w:hint="eastAsia" w:ascii="宋体" w:hAnsi="宋体" w:eastAsia="宋体" w:cs="宋体"/>
                <w:sz w:val="20"/>
                <w:szCs w:val="20"/>
              </w:rPr>
              <w:t>按需提供对应服务</w:t>
            </w:r>
            <w:r>
              <w:rPr>
                <w:rFonts w:hint="eastAsia" w:ascii="宋体" w:hAnsi="宋体" w:eastAsia="宋体" w:cs="宋体"/>
                <w:sz w:val="20"/>
                <w:szCs w:val="20"/>
                <w:lang w:eastAsia="zh-CN"/>
              </w:rPr>
              <w:t>工具（提示：需提供一套终端管理软件）</w:t>
            </w:r>
          </w:p>
        </w:tc>
      </w:tr>
      <w:tr w14:paraId="27D7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657" w:type="dxa"/>
            <w:vMerge w:val="continue"/>
            <w:tcMar>
              <w:top w:w="0" w:type="dxa"/>
              <w:left w:w="105" w:type="dxa"/>
              <w:bottom w:w="0" w:type="dxa"/>
              <w:right w:w="105" w:type="dxa"/>
            </w:tcMar>
          </w:tcPr>
          <w:p w14:paraId="5D352F41">
            <w:pPr>
              <w:rPr>
                <w:rFonts w:hint="eastAsia" w:ascii="宋体" w:hAnsi="宋体" w:eastAsia="宋体" w:cs="宋体"/>
                <w:sz w:val="20"/>
                <w:szCs w:val="20"/>
                <w:lang w:eastAsia="zh-CN"/>
              </w:rPr>
            </w:pPr>
          </w:p>
        </w:tc>
        <w:tc>
          <w:tcPr>
            <w:tcW w:w="879" w:type="dxa"/>
            <w:tcMar>
              <w:top w:w="0" w:type="dxa"/>
              <w:left w:w="105" w:type="dxa"/>
              <w:bottom w:w="0" w:type="dxa"/>
              <w:right w:w="105" w:type="dxa"/>
            </w:tcMar>
          </w:tcPr>
          <w:p w14:paraId="639DBF4E">
            <w:pPr>
              <w:rPr>
                <w:rFonts w:hint="eastAsia" w:ascii="宋体" w:hAnsi="宋体" w:eastAsia="宋体" w:cs="宋体"/>
                <w:sz w:val="20"/>
                <w:szCs w:val="20"/>
                <w:lang w:eastAsia="zh-CN"/>
              </w:rPr>
            </w:pPr>
            <w:r>
              <w:rPr>
                <w:rFonts w:hint="eastAsia" w:ascii="宋体" w:hAnsi="宋体" w:eastAsia="宋体" w:cs="宋体"/>
                <w:sz w:val="20"/>
                <w:szCs w:val="20"/>
                <w:lang w:eastAsia="zh-CN"/>
              </w:rPr>
              <w:t>一体化智能监控运维管理服务</w:t>
            </w:r>
          </w:p>
        </w:tc>
        <w:tc>
          <w:tcPr>
            <w:tcW w:w="7765" w:type="dxa"/>
            <w:tcMar>
              <w:top w:w="0" w:type="dxa"/>
              <w:left w:w="105" w:type="dxa"/>
              <w:bottom w:w="0" w:type="dxa"/>
              <w:right w:w="105" w:type="dxa"/>
            </w:tcMar>
            <w:vAlign w:val="top"/>
          </w:tcPr>
          <w:p w14:paraId="743E1EF9">
            <w:pPr>
              <w:pStyle w:val="7"/>
              <w:ind w:left="420" w:left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（一）综合监控服务要求</w:t>
            </w:r>
          </w:p>
          <w:p w14:paraId="4F72F34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实现支持面向业务的监控。实现接入的监控资源总体情况，包括正常设备数、严重设备数、提醒设备数、失联设备数等。实现系统接入的设备数及各种设备类型的接入数，包括操作系统、数据库、中间件、网络设备、服务器、存储等。展示最新严重告警信息，能够快捷定位需要处理的告警事件。</w:t>
            </w:r>
          </w:p>
          <w:p w14:paraId="6868ABB6">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内置丰富的资源面板，用户可根据需求自主拖拽布局，多维度多视角的自定义资源面板，帮助用户实现登录即工作的便捷。</w:t>
            </w:r>
          </w:p>
          <w:p w14:paraId="0EA035F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支持展示监控对象的总体概况，包括监控资源的基本信息、核心指标、实时状态和实时告警信息。支持根据告警级别、发生时间等条件查询监控对象的全部告警信息。</w:t>
            </w:r>
          </w:p>
          <w:p w14:paraId="1E0A2B5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支持快速切换当前业务系统的其他监控对象，便于查找分析问题。（提供系统证明截图并加盖投标人单位公章）</w:t>
            </w:r>
          </w:p>
          <w:p w14:paraId="62DA8AF4">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实现展示监控对象的全部指标列表，针对每个指标支持图形化显示历史曲线。</w:t>
            </w:r>
          </w:p>
          <w:p w14:paraId="501FD9B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支持查看监控对象所有指标某个时刻点的数据，为分析历史故障提供决策依据。</w:t>
            </w:r>
          </w:p>
          <w:p w14:paraId="70C5BCA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支持所有监控对象显示在一个列表中，清晰看到每类监控对象的数量和通过关键字快速查找。支持快速跳转设备的管理口功能。</w:t>
            </w:r>
          </w:p>
          <w:p w14:paraId="55E63F08">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支持在线执行脚本，包括ping、端口扫描、</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"http://47.93.189.29/zbx/zabbix.php?action=script.edit&amp;scriptid=6" </w:instrText>
            </w:r>
            <w:r>
              <w:rPr>
                <w:rFonts w:hint="eastAsia" w:ascii="宋体" w:hAnsi="宋体" w:eastAsia="宋体" w:cs="宋体"/>
                <w:sz w:val="20"/>
                <w:szCs w:val="20"/>
              </w:rPr>
              <w:fldChar w:fldCharType="separate"/>
            </w:r>
            <w:r>
              <w:rPr>
                <w:rFonts w:hint="eastAsia" w:ascii="宋体" w:hAnsi="宋体" w:eastAsia="宋体" w:cs="宋体"/>
                <w:color w:val="000000" w:themeColor="text1"/>
                <w:sz w:val="20"/>
                <w:szCs w:val="20"/>
                <w:lang w:eastAsia="zh-CN"/>
                <w14:textFill>
                  <w14:solidFill>
                    <w14:schemeClr w14:val="tx1"/>
                  </w14:solidFill>
                </w14:textFill>
              </w:rPr>
              <w:t>Traceroute</w:t>
            </w:r>
            <w:r>
              <w:rPr>
                <w:rFonts w:hint="eastAsia" w:ascii="宋体" w:hAnsi="宋体" w:eastAsia="宋体" w:cs="宋体"/>
                <w:color w:val="000000" w:themeColor="text1"/>
                <w:sz w:val="20"/>
                <w:szCs w:val="20"/>
                <w:lang w:eastAsia="zh-CN"/>
                <w14:textFill>
                  <w14:solidFill>
                    <w14:schemeClr w14:val="tx1"/>
                  </w14:solidFill>
                </w14:textFill>
              </w:rPr>
              <w:fldChar w:fldCharType="end"/>
            </w:r>
            <w:r>
              <w:rPr>
                <w:rFonts w:hint="eastAsia" w:ascii="宋体" w:hAnsi="宋体" w:eastAsia="宋体" w:cs="宋体"/>
                <w:color w:val="000000" w:themeColor="text1"/>
                <w:sz w:val="20"/>
                <w:szCs w:val="20"/>
                <w:lang w:eastAsia="zh-CN"/>
                <w14:textFill>
                  <w14:solidFill>
                    <w14:schemeClr w14:val="tx1"/>
                  </w14:solidFill>
                </w14:textFill>
              </w:rPr>
              <w:t>等。</w:t>
            </w:r>
          </w:p>
          <w:p w14:paraId="67160CF8">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支持针对具体监控对象的监控指标和触发器的管理。</w:t>
            </w:r>
          </w:p>
          <w:p w14:paraId="7FB5086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支持Windows、Linux等操作系统的监控，支持主、被动方式。支持对CPU使用率、CPU负载、队列长度、CPU系统态使用率的监控。</w:t>
            </w:r>
          </w:p>
          <w:p w14:paraId="71148DE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支持对内存使用情况监控，包括内存使用率、交换空间使用率、内存空闲率等。</w:t>
            </w:r>
          </w:p>
          <w:p w14:paraId="2DA837E3">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支持对磁盘剩余空间、磁盘IO、传输速率、响应时间、吞吐量的监控，提供磁盘预计用完时间。</w:t>
            </w:r>
          </w:p>
          <w:p w14:paraId="3FE775B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支持对网络发送与接收速率、丢包率、错误包数、网卡流量进行监控。</w:t>
            </w:r>
          </w:p>
          <w:p w14:paraId="14B60EF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支持对进程、端口和服务进行监控。分析进程占用内存和CPU的相关情况，如：进程CPU占用前二十，进程内存占用前二十等。</w:t>
            </w:r>
          </w:p>
          <w:p w14:paraId="1E98B84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数据库监控：支持MySQL、SQLServer、Oracle、DB2、MongoDB、Redis、ElasticSearch、Caché和达梦等数据库的监控。支持会话数、连接数、会话锁定率、活跃会话等各类性能指标的监控。支持资源和缓存等可用指标的监控。支持对阻塞和死锁等可用性监控。支持对数据库备份状态及结果监控。支持对慢查询（SQL）进行监控。支持对表空间进程监控。支持对文件进行监控，提供日志文件信息。</w:t>
            </w:r>
          </w:p>
          <w:p w14:paraId="65B7CCD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▲中间件监控：支持对 Nginx、IIS、Tomcat、WebLogic、Resin、Apache、Zookeeper、Jboos、东方通TongWeb等中间件的监控。支持对ActiveMQ、RabbitMQ、Kafka等消息队列的监控。支持对Zookeeper、Kafka等集群进行监控。支持中间件的请求、会话、类、线程、堆内存、垃圾回收和资源等进行监控。</w:t>
            </w:r>
          </w:p>
          <w:p w14:paraId="0E616BB5">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支持系统可用性监控，包括响应状态和响应时间等。支持针对系统的接口可用性进行监控，包括接口响应时间、响应码、响应状态等。支持针对系统的某些功能可用性监控，包括系统登录、重点功能、退出等。</w:t>
            </w:r>
          </w:p>
          <w:p w14:paraId="4303B3A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虚拟化平台的监控，包括虚拟化平台的宿主机、集群、虚拟机等监控。支持虚拟化平台的总体情况展示，包括虚拟机的开关机情况、宿主机的开关机情况、CPU\硬盘\内存的总体使用情况、虚拟机CPU使用率和内存使用率前五等。</w:t>
            </w:r>
          </w:p>
          <w:p w14:paraId="0D96DAC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支持主机视图和虚拟机视图两种树状维度，清晰显示虚拟化平台的架构。支持虚拟机视角监控，包括虚拟机的IP、状态、CPU使用率、内存使用率、磁盘使用率、CPU核数、内存大小等。</w:t>
            </w:r>
          </w:p>
          <w:p w14:paraId="077C0C6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网络设备监控服务要求：支持对不同品牌交换机、防火墙、入侵防护、上网行为、负载均衡等安全设备的监控。支持对不同品牌交换机端口状态、流量监控分析功能。支持对不同品牌交换机电源、风扇、电源、主板等硬件监控，CPU、内存的性能监控。</w:t>
            </w:r>
          </w:p>
          <w:p w14:paraId="1D39286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物理服务器监控服务要求：支持对华为、戴尔、华三、惠普、联想、浪潮等各品牌物理服务器的监控。支持对跨平台(Windows、Linux、Unix等) 操作系统级指标项的监控。支持读取服务器处理器、内存、硬盘、网络等的配置信息；提供IO分析数据。支持对物理服务器的硬件监控，包括风扇、温度、电源、电池、电流、电压和主板等。</w:t>
            </w:r>
          </w:p>
          <w:p w14:paraId="06C3148F">
            <w:pPr>
              <w:pStyle w:val="7"/>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存储监控服务要求：支持对惠普、日立、EMC、群晖、IBM、华为等各平台物理存储设备的监控。支持读取存储池和物理硬盘信息，支持对存储的分析，包括发送数、错误硬盘数、Autosupport发送成功数等。支持读取存储的网口状态、速率、以及流量等信息。支持获取存储的背板和节点信息。</w:t>
            </w:r>
          </w:p>
          <w:p w14:paraId="7BF023D7">
            <w:pPr>
              <w:pStyle w:val="7"/>
              <w:ind w:left="420" w:left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（二）报障管理模块服务要求</w:t>
            </w:r>
          </w:p>
          <w:p w14:paraId="65A65CCD">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▲IT呼叫中心：在电话响起时，自动弹出报修页面；实时在线录音，录音文件可传至服务器永久保存，录音文件可回放，可监控多路电话；自动记录已接、未接、呼出的电话记录。</w:t>
            </w:r>
          </w:p>
          <w:p w14:paraId="0AC9D950">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值班管理：在来电弹屏时，自动解析来电号码，并根据来电号码自动识别对应的来电人或者来电客户；来电时自动提示当前客户历史报修记录，根据记录可回复客户进度和判断是否重复报修。</w:t>
            </w:r>
          </w:p>
          <w:p w14:paraId="55A6744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工单管理：接单：支持手机接单、电脑接单；转交：支持工单转交给其它同事，在手机，电脑均可操作；填写处理记录：可以填写多次处理记录，支持语音自动识别为文字；完成：维修处理完成，转为待评价状态；评价：支持不同的维度评价，例如响应速度，服务态度等，三天未评价，系统默认好评；工单查询：根据关键词（故障描述、解决办法等）、报修时间、工程师和工单状态等进行综合查询和导出EXCEL。</w:t>
            </w:r>
          </w:p>
          <w:p w14:paraId="3D1DAF8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知识库管理：实现系统自动分词进行模糊搜索；实现对知识库的评价功能；支持富文本编辑，实现图文结合的知识库，提供附件上传等功能；维修结束后，可以把维修过程自动转入知识库。</w:t>
            </w:r>
          </w:p>
          <w:p w14:paraId="2CE8459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移动端功能：可采用拍照、录音、文字描述、语音识别等方式进行报修；在故障处理的各个环节，系统通过微信自动把处理的实时进度信息反馈给报修人；通过手机可以派单、转交、接单、填写处理记录、完成、关闭工单等操作；通过微信扫一扫进行现场设备巡检，根据手机提示的巡检项目逐项核对并记录，然后现场拍照确保人员真正到达现场；通过微信扫一扫可以查询到设备的具体信息。</w:t>
            </w:r>
          </w:p>
          <w:p w14:paraId="2DF71573">
            <w:pPr>
              <w:pStyle w:val="7"/>
              <w:ind w:left="420" w:left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（三）资产巡检管理模块服务要求</w:t>
            </w:r>
          </w:p>
          <w:p w14:paraId="7FBF9D5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台账：资产台账整体管理，此功能为了辅助巡检管理使用；</w:t>
            </w:r>
          </w:p>
          <w:p w14:paraId="62336B5A">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巡检标准设置：针对每种设备类型可以设置标准化的巡检作业体系；</w:t>
            </w:r>
          </w:p>
          <w:p w14:paraId="40DDC68B">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巡检记录：填写巡检记录，并现场拍照；</w:t>
            </w:r>
          </w:p>
          <w:p w14:paraId="12AC3EA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巡检设备管理：巡检设备的设置，待巡设备的提醒等；</w:t>
            </w:r>
          </w:p>
          <w:p w14:paraId="76CCB09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巡检周期管理：可以针对不同类型，不同品牌，不同型号设备设置不同的巡检周期，巡检方式及内容；</w:t>
            </w:r>
          </w:p>
          <w:p w14:paraId="655A5CF1">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设备类别管理：设备类型设置，建立树型设备分类结构；</w:t>
            </w:r>
          </w:p>
          <w:p w14:paraId="615947DC">
            <w:pPr>
              <w:pStyle w:val="7"/>
              <w:ind w:left="420" w:left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（四）项目管理模块服务要求</w:t>
            </w:r>
          </w:p>
          <w:p w14:paraId="07BA12DC">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我的项目：以项目的维度，查看自己所参与的项目中产生的任务、交付物、进度、会议、动态等；</w:t>
            </w:r>
          </w:p>
          <w:p w14:paraId="5C83C9CF">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任务分解：以任务的维度，查看自己所接受的任务，包括改进类、需求类、问题类、任务类，所属的项目、提出时间、截止时间、优先级、完成情况等，可对任务进行汇报，上传相关文档；</w:t>
            </w:r>
          </w:p>
          <w:p w14:paraId="1E706A17">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项目进度管理：把控所有在进行中的项目，历史和本月任务是否解决，查看未解决的问题、相关负责人、项目所处进度、会议等；</w:t>
            </w:r>
          </w:p>
          <w:p w14:paraId="185890B6">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项目过程管理：对项目的大节点、里程碑进行配置；</w:t>
            </w:r>
          </w:p>
          <w:p w14:paraId="38057EBE">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需求流程管理：新增需求、暂停需求、转派需求、终止需求、拒绝需求、完成需求、查询需求；</w:t>
            </w:r>
          </w:p>
          <w:p w14:paraId="679A364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填写处理记录：可以填写多次处理记录，支持语音自动识别为文字。修改当前进度；</w:t>
            </w:r>
          </w:p>
          <w:p w14:paraId="0D706BE9">
            <w:pPr>
              <w:pStyle w:val="7"/>
              <w:numPr>
                <w:ilvl w:val="0"/>
                <w:numId w:val="1"/>
              </w:numPr>
              <w:ind w:firstLine="400" w:firstLine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合同发票：实现合同、发票基本信息的维护。</w:t>
            </w:r>
          </w:p>
          <w:p w14:paraId="240BDC8A">
            <w:pPr>
              <w:pStyle w:val="7"/>
              <w:ind w:left="420" w:leftChars="20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（五）其他服务要求</w:t>
            </w:r>
          </w:p>
          <w:p w14:paraId="16CE7B50">
            <w:pPr>
              <w:pStyle w:val="7"/>
              <w:numPr>
                <w:ilvl w:val="0"/>
                <w:numId w:val="1"/>
              </w:numPr>
              <w:ind w:left="0" w:leftChars="0" w:firstLine="400" w:firstLineChars="200"/>
              <w:jc w:val="both"/>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★提供系统平台所有模块功能终身使用授权，系统平台被监控对象授权数量无限制。提供≥5年的系统升级维护服务，提供现场安装、培训，7*24小时技术支持。</w:t>
            </w:r>
          </w:p>
        </w:tc>
        <w:tc>
          <w:tcPr>
            <w:tcW w:w="1094" w:type="dxa"/>
            <w:tcMar>
              <w:top w:w="0" w:type="dxa"/>
              <w:left w:w="105" w:type="dxa"/>
              <w:bottom w:w="0" w:type="dxa"/>
              <w:right w:w="105" w:type="dxa"/>
            </w:tcMar>
            <w:vAlign w:val="center"/>
          </w:tcPr>
          <w:p w14:paraId="78098F36">
            <w:pPr>
              <w:rPr>
                <w:rFonts w:hint="eastAsia" w:ascii="宋体" w:hAnsi="宋体" w:eastAsia="宋体" w:cs="宋体"/>
                <w:sz w:val="20"/>
                <w:szCs w:val="20"/>
                <w:lang w:eastAsia="zh-CN"/>
              </w:rPr>
            </w:pPr>
          </w:p>
        </w:tc>
        <w:tc>
          <w:tcPr>
            <w:tcW w:w="1094" w:type="dxa"/>
            <w:tcMar>
              <w:top w:w="0" w:type="dxa"/>
              <w:left w:w="105" w:type="dxa"/>
              <w:bottom w:w="0" w:type="dxa"/>
              <w:right w:w="105" w:type="dxa"/>
            </w:tcMar>
            <w:vAlign w:val="center"/>
          </w:tcPr>
          <w:p w14:paraId="675D9D5E">
            <w:pPr>
              <w:rPr>
                <w:rFonts w:hint="eastAsia" w:ascii="宋体" w:hAnsi="宋体" w:eastAsia="宋体" w:cs="宋体"/>
                <w:sz w:val="20"/>
                <w:szCs w:val="20"/>
                <w:lang w:eastAsia="zh-CN"/>
              </w:rPr>
            </w:pPr>
          </w:p>
        </w:tc>
        <w:tc>
          <w:tcPr>
            <w:tcW w:w="1094" w:type="dxa"/>
            <w:tcMar>
              <w:top w:w="0" w:type="dxa"/>
              <w:left w:w="105" w:type="dxa"/>
              <w:bottom w:w="0" w:type="dxa"/>
              <w:right w:w="105" w:type="dxa"/>
            </w:tcMar>
            <w:vAlign w:val="center"/>
          </w:tcPr>
          <w:p w14:paraId="79414C40">
            <w:pPr>
              <w:rPr>
                <w:rFonts w:hint="eastAsia" w:ascii="宋体" w:hAnsi="宋体" w:eastAsia="宋体" w:cs="宋体"/>
                <w:sz w:val="20"/>
                <w:szCs w:val="20"/>
                <w:lang w:eastAsia="zh-CN"/>
              </w:rPr>
            </w:pPr>
          </w:p>
        </w:tc>
        <w:tc>
          <w:tcPr>
            <w:tcW w:w="1094" w:type="dxa"/>
            <w:tcMar>
              <w:top w:w="0" w:type="dxa"/>
              <w:left w:w="105" w:type="dxa"/>
              <w:bottom w:w="0" w:type="dxa"/>
              <w:right w:w="105" w:type="dxa"/>
            </w:tcMar>
            <w:vAlign w:val="center"/>
          </w:tcPr>
          <w:p w14:paraId="686C2A6C">
            <w:pPr>
              <w:rPr>
                <w:rFonts w:hint="eastAsia" w:ascii="宋体" w:hAnsi="宋体" w:eastAsia="宋体" w:cs="宋体"/>
                <w:sz w:val="20"/>
                <w:szCs w:val="20"/>
                <w:lang w:eastAsia="zh-CN"/>
              </w:rPr>
            </w:pPr>
            <w:r>
              <w:rPr>
                <w:rFonts w:hint="eastAsia" w:ascii="宋体" w:hAnsi="宋体" w:eastAsia="宋体" w:cs="宋体"/>
                <w:sz w:val="20"/>
                <w:szCs w:val="20"/>
                <w:lang w:eastAsia="zh-CN"/>
              </w:rPr>
              <w:t>按需提供对应服务工具（提示：需提供一套监控运维管理服务软件）</w:t>
            </w:r>
          </w:p>
        </w:tc>
      </w:tr>
    </w:tbl>
    <w:p w14:paraId="79730A40">
      <w:pPr>
        <w:spacing w:line="560" w:lineRule="exact"/>
        <w:ind w:firstLine="723" w:firstLineChars="200"/>
        <w:jc w:val="center"/>
        <w:rPr>
          <w:rFonts w:hint="default" w:ascii="Times New Roman"/>
          <w:b/>
          <w:bCs/>
          <w:sz w:val="36"/>
          <w:szCs w:val="36"/>
          <w:lang w:val="en-US" w:eastAsia="zh-CN"/>
        </w:rPr>
      </w:pPr>
    </w:p>
    <w:p w14:paraId="5431DFCC">
      <w:pPr>
        <w:spacing w:line="560" w:lineRule="exact"/>
        <w:ind w:firstLine="723" w:firstLineChars="200"/>
        <w:jc w:val="center"/>
        <w:rPr>
          <w:rFonts w:hint="default" w:ascii="Times New Roman"/>
          <w:b/>
          <w:bCs/>
          <w:sz w:val="36"/>
          <w:szCs w:val="36"/>
          <w:lang w:val="en-US" w:eastAsia="zh-CN"/>
        </w:rPr>
      </w:pPr>
    </w:p>
    <w:p w14:paraId="158B05C4">
      <w:pPr>
        <w:spacing w:line="560" w:lineRule="exact"/>
        <w:ind w:firstLine="723" w:firstLineChars="200"/>
        <w:jc w:val="center"/>
        <w:rPr>
          <w:rFonts w:hint="default" w:ascii="Times New Roman"/>
          <w:b/>
          <w:bCs/>
          <w:sz w:val="36"/>
          <w:szCs w:val="36"/>
          <w:lang w:val="en-US" w:eastAsia="zh-CN"/>
        </w:rPr>
      </w:pPr>
    </w:p>
    <w:p w14:paraId="2349C4D1">
      <w:pPr>
        <w:spacing w:line="560" w:lineRule="exact"/>
        <w:ind w:firstLine="723" w:firstLineChars="200"/>
        <w:jc w:val="center"/>
        <w:rPr>
          <w:rFonts w:hint="default" w:ascii="Times New Roman"/>
          <w:b/>
          <w:bCs/>
          <w:sz w:val="36"/>
          <w:szCs w:val="36"/>
          <w:lang w:val="en-US" w:eastAsia="zh-CN"/>
        </w:rPr>
      </w:pPr>
    </w:p>
    <w:p w14:paraId="65829B23">
      <w:pPr>
        <w:spacing w:line="560" w:lineRule="exact"/>
        <w:ind w:firstLine="723" w:firstLineChars="200"/>
        <w:jc w:val="center"/>
        <w:rPr>
          <w:rFonts w:hint="default" w:ascii="Times New Roman"/>
          <w:b/>
          <w:bCs/>
          <w:sz w:val="36"/>
          <w:szCs w:val="36"/>
          <w:lang w:val="en-US" w:eastAsia="zh-CN"/>
        </w:rPr>
      </w:pPr>
    </w:p>
    <w:p w14:paraId="503E1BF1">
      <w:pPr>
        <w:spacing w:line="560" w:lineRule="exact"/>
        <w:jc w:val="center"/>
        <w:rPr>
          <w:b/>
          <w:bCs/>
          <w:sz w:val="36"/>
          <w:szCs w:val="36"/>
        </w:rPr>
      </w:pPr>
      <w:r>
        <w:rPr>
          <w:rFonts w:hint="eastAsia"/>
          <w:b/>
          <w:bCs/>
          <w:sz w:val="36"/>
          <w:szCs w:val="36"/>
        </w:rPr>
        <w:t>巴中市中医医院（巴中市巴州区人民医院）</w:t>
      </w:r>
    </w:p>
    <w:p w14:paraId="079B44A2">
      <w:pPr>
        <w:spacing w:line="560" w:lineRule="exact"/>
        <w:jc w:val="center"/>
        <w:rPr>
          <w:rFonts w:hint="eastAsia" w:ascii="Times New Roman"/>
          <w:b/>
          <w:bCs/>
          <w:sz w:val="36"/>
          <w:szCs w:val="36"/>
          <w:lang w:val="en-US" w:eastAsia="zh-CN"/>
        </w:rPr>
      </w:pPr>
      <w:r>
        <w:rPr>
          <w:rFonts w:hint="eastAsia" w:ascii="Times New Roman"/>
          <w:b/>
          <w:bCs/>
          <w:sz w:val="36"/>
          <w:szCs w:val="36"/>
        </w:rPr>
        <w:t>三级等保安全整改（网络安全服务）采购项目</w:t>
      </w:r>
      <w:r>
        <w:rPr>
          <w:rFonts w:hint="eastAsia" w:ascii="Times New Roman"/>
          <w:b/>
          <w:bCs/>
          <w:sz w:val="36"/>
          <w:szCs w:val="36"/>
          <w:lang w:val="en-US" w:eastAsia="zh-CN"/>
        </w:rPr>
        <w:t>报价单</w:t>
      </w:r>
    </w:p>
    <w:p w14:paraId="71BB19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b/>
          <w:bCs/>
          <w:sz w:val="10"/>
          <w:szCs w:val="10"/>
          <w:lang w:val="en-US" w:eastAsia="zh-CN"/>
        </w:rPr>
      </w:pPr>
    </w:p>
    <w:p w14:paraId="693F898E">
      <w:pPr>
        <w:spacing w:line="560" w:lineRule="exact"/>
        <w:jc w:val="right"/>
        <w:rPr>
          <w:rFonts w:hint="default" w:ascii="Times New Roman"/>
          <w:b/>
          <w:bCs/>
          <w:sz w:val="24"/>
          <w:szCs w:val="24"/>
          <w:lang w:val="en-US" w:eastAsia="zh-CN"/>
        </w:rPr>
      </w:pPr>
      <w:r>
        <w:rPr>
          <w:rFonts w:hint="eastAsia" w:ascii="Times New Roman"/>
          <w:b/>
          <w:bCs/>
          <w:sz w:val="24"/>
          <w:szCs w:val="24"/>
          <w:u w:val="none"/>
          <w:lang w:val="en-US" w:eastAsia="zh-CN"/>
        </w:rPr>
        <w:t xml:space="preserve">单位名称（盖章）：                                                                 年    月    日 </w:t>
      </w:r>
      <w:r>
        <w:rPr>
          <w:rFonts w:hint="eastAsia" w:ascii="Times New Roman"/>
          <w:b w:val="0"/>
          <w:bCs w:val="0"/>
          <w:sz w:val="24"/>
          <w:szCs w:val="24"/>
          <w:u w:val="none"/>
          <w:lang w:val="en-US" w:eastAsia="zh-CN"/>
        </w:rPr>
        <w:t xml:space="preserve"> </w:t>
      </w:r>
      <w:r>
        <w:rPr>
          <w:rFonts w:hint="eastAsia" w:ascii="Times New Roman"/>
          <w:b/>
          <w:bCs/>
          <w:sz w:val="24"/>
          <w:szCs w:val="24"/>
          <w:lang w:val="en-US" w:eastAsia="zh-CN"/>
        </w:rPr>
        <w:t xml:space="preserve">         </w:t>
      </w:r>
      <w:r>
        <w:rPr>
          <w:rFonts w:hint="eastAsia" w:ascii="Times New Roman"/>
          <w:b/>
          <w:bCs/>
          <w:sz w:val="22"/>
          <w:szCs w:val="22"/>
          <w:lang w:val="en-US" w:eastAsia="zh-CN"/>
        </w:rPr>
        <w:t xml:space="preserve"> 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59"/>
        <w:gridCol w:w="4664"/>
        <w:gridCol w:w="1418"/>
        <w:gridCol w:w="1118"/>
        <w:gridCol w:w="1282"/>
        <w:gridCol w:w="1531"/>
      </w:tblGrid>
      <w:tr w14:paraId="79AA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6" w:type="dxa"/>
            <w:vAlign w:val="center"/>
          </w:tcPr>
          <w:p w14:paraId="4898E5B0">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序号</w:t>
            </w:r>
          </w:p>
        </w:tc>
        <w:tc>
          <w:tcPr>
            <w:tcW w:w="3259" w:type="dxa"/>
            <w:vAlign w:val="center"/>
          </w:tcPr>
          <w:p w14:paraId="30FF2F33">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产品名称</w:t>
            </w:r>
          </w:p>
        </w:tc>
        <w:tc>
          <w:tcPr>
            <w:tcW w:w="4664" w:type="dxa"/>
            <w:vAlign w:val="center"/>
          </w:tcPr>
          <w:p w14:paraId="3D7A83A3">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品牌型号</w:t>
            </w:r>
          </w:p>
        </w:tc>
        <w:tc>
          <w:tcPr>
            <w:tcW w:w="1418" w:type="dxa"/>
            <w:vAlign w:val="center"/>
          </w:tcPr>
          <w:p w14:paraId="68D2D505">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单价</w:t>
            </w:r>
          </w:p>
        </w:tc>
        <w:tc>
          <w:tcPr>
            <w:tcW w:w="1118" w:type="dxa"/>
            <w:vAlign w:val="center"/>
          </w:tcPr>
          <w:p w14:paraId="43458E08">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数量</w:t>
            </w:r>
          </w:p>
        </w:tc>
        <w:tc>
          <w:tcPr>
            <w:tcW w:w="1282" w:type="dxa"/>
            <w:vAlign w:val="center"/>
          </w:tcPr>
          <w:p w14:paraId="28BEA2DD">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总价</w:t>
            </w:r>
          </w:p>
        </w:tc>
        <w:tc>
          <w:tcPr>
            <w:tcW w:w="1531" w:type="dxa"/>
            <w:vAlign w:val="center"/>
          </w:tcPr>
          <w:p w14:paraId="35DE76FA">
            <w:pPr>
              <w:spacing w:line="560" w:lineRule="exact"/>
              <w:jc w:val="center"/>
              <w:rPr>
                <w:rFonts w:hint="default" w:ascii="Times New Roman"/>
                <w:b/>
                <w:bCs/>
                <w:sz w:val="20"/>
                <w:szCs w:val="20"/>
                <w:vertAlign w:val="baseline"/>
                <w:lang w:val="en-US" w:eastAsia="zh-CN"/>
              </w:rPr>
            </w:pPr>
            <w:r>
              <w:rPr>
                <w:rFonts w:hint="eastAsia" w:ascii="Times New Roman"/>
                <w:b/>
                <w:bCs/>
                <w:sz w:val="20"/>
                <w:szCs w:val="20"/>
                <w:vertAlign w:val="baseline"/>
                <w:lang w:val="en-US" w:eastAsia="zh-CN"/>
              </w:rPr>
              <w:t>备注</w:t>
            </w:r>
          </w:p>
        </w:tc>
      </w:tr>
      <w:tr w14:paraId="5E98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45054321">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1</w:t>
            </w:r>
          </w:p>
        </w:tc>
        <w:tc>
          <w:tcPr>
            <w:tcW w:w="3259" w:type="dxa"/>
            <w:shd w:val="clear" w:color="auto" w:fill="auto"/>
            <w:vAlign w:val="center"/>
          </w:tcPr>
          <w:p w14:paraId="3F5D3DC0">
            <w:pPr>
              <w:pStyle w:val="7"/>
              <w:widowControl w:val="0"/>
              <w:jc w:val="center"/>
              <w:rPr>
                <w:rFonts w:hint="eastAsia" w:ascii="宋体" w:hAnsi="宋体" w:eastAsia="宋体" w:cs="宋体"/>
                <w:sz w:val="20"/>
                <w:szCs w:val="20"/>
                <w:lang w:val="en-US" w:eastAsia="zh-CN" w:bidi="ar-SA"/>
              </w:rPr>
            </w:pPr>
            <w:r>
              <w:rPr>
                <w:rFonts w:ascii="宋体" w:hAnsi="宋体" w:cs="宋体"/>
                <w:color w:val="000000"/>
                <w:sz w:val="20"/>
                <w:szCs w:val="20"/>
                <w:lang w:eastAsia="zh-CN" w:bidi="ar"/>
              </w:rPr>
              <w:t>核心链路保护服务</w:t>
            </w:r>
          </w:p>
        </w:tc>
        <w:tc>
          <w:tcPr>
            <w:tcW w:w="4664" w:type="dxa"/>
            <w:vAlign w:val="center"/>
          </w:tcPr>
          <w:p w14:paraId="5D7F95CD">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3B2C1128">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0B017B57">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275B7193">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0914CE5D">
            <w:pPr>
              <w:spacing w:line="560" w:lineRule="exact"/>
              <w:jc w:val="center"/>
              <w:rPr>
                <w:rFonts w:hint="eastAsia" w:ascii="Times New Roman"/>
                <w:b w:val="0"/>
                <w:bCs w:val="0"/>
                <w:sz w:val="20"/>
                <w:szCs w:val="20"/>
                <w:vertAlign w:val="baseline"/>
                <w:lang w:val="en-US" w:eastAsia="zh-CN"/>
              </w:rPr>
            </w:pPr>
          </w:p>
        </w:tc>
      </w:tr>
      <w:tr w14:paraId="65F8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5CCA2FE2">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2</w:t>
            </w:r>
          </w:p>
        </w:tc>
        <w:tc>
          <w:tcPr>
            <w:tcW w:w="3259" w:type="dxa"/>
            <w:shd w:val="clear" w:color="auto" w:fill="auto"/>
            <w:vAlign w:val="center"/>
          </w:tcPr>
          <w:p w14:paraId="1F73FAAB">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eastAsia="zh-CN" w:bidi="ar"/>
              </w:rPr>
              <w:t>网络区域边界防护服务</w:t>
            </w:r>
          </w:p>
        </w:tc>
        <w:tc>
          <w:tcPr>
            <w:tcW w:w="4664" w:type="dxa"/>
            <w:vAlign w:val="center"/>
          </w:tcPr>
          <w:p w14:paraId="77F2D008">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71DD5D35">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5CBB7E3E">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082C825D">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0DB5DD2E">
            <w:pPr>
              <w:spacing w:line="560" w:lineRule="exact"/>
              <w:jc w:val="center"/>
              <w:rPr>
                <w:rFonts w:hint="eastAsia" w:ascii="Times New Roman"/>
                <w:b w:val="0"/>
                <w:bCs w:val="0"/>
                <w:sz w:val="20"/>
                <w:szCs w:val="20"/>
                <w:vertAlign w:val="baseline"/>
                <w:lang w:val="en-US" w:eastAsia="zh-CN"/>
              </w:rPr>
            </w:pPr>
          </w:p>
        </w:tc>
      </w:tr>
      <w:tr w14:paraId="4E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712149C5">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3</w:t>
            </w:r>
          </w:p>
        </w:tc>
        <w:tc>
          <w:tcPr>
            <w:tcW w:w="3259" w:type="dxa"/>
            <w:shd w:val="clear" w:color="auto" w:fill="auto"/>
            <w:vAlign w:val="center"/>
          </w:tcPr>
          <w:p w14:paraId="0595BED8">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bidi="ar"/>
              </w:rPr>
              <w:t>内外边界物理隔离服务</w:t>
            </w:r>
          </w:p>
        </w:tc>
        <w:tc>
          <w:tcPr>
            <w:tcW w:w="4664" w:type="dxa"/>
            <w:vAlign w:val="center"/>
          </w:tcPr>
          <w:p w14:paraId="6F8AE612">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5A41BEB1">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1DBEBEEF">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68ABF906">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6EDF92B7">
            <w:pPr>
              <w:spacing w:line="560" w:lineRule="exact"/>
              <w:jc w:val="center"/>
              <w:rPr>
                <w:rFonts w:hint="eastAsia" w:ascii="Times New Roman"/>
                <w:b w:val="0"/>
                <w:bCs w:val="0"/>
                <w:sz w:val="20"/>
                <w:szCs w:val="20"/>
                <w:vertAlign w:val="baseline"/>
                <w:lang w:val="en-US" w:eastAsia="zh-CN"/>
              </w:rPr>
            </w:pPr>
          </w:p>
        </w:tc>
      </w:tr>
      <w:tr w14:paraId="154C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09AD9AF8">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4</w:t>
            </w:r>
          </w:p>
        </w:tc>
        <w:tc>
          <w:tcPr>
            <w:tcW w:w="3259" w:type="dxa"/>
            <w:shd w:val="clear" w:color="auto" w:fill="auto"/>
            <w:vAlign w:val="center"/>
          </w:tcPr>
          <w:p w14:paraId="5447664E">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bidi="ar"/>
              </w:rPr>
              <w:t>数据库</w:t>
            </w:r>
            <w:r>
              <w:rPr>
                <w:rFonts w:ascii="宋体" w:hAnsi="宋体" w:cs="宋体"/>
                <w:color w:val="000000"/>
                <w:sz w:val="20"/>
                <w:szCs w:val="20"/>
                <w:lang w:eastAsia="zh-CN" w:bidi="ar"/>
              </w:rPr>
              <w:t>访问</w:t>
            </w:r>
            <w:r>
              <w:rPr>
                <w:rFonts w:ascii="宋体" w:hAnsi="宋体" w:cs="宋体"/>
                <w:color w:val="000000"/>
                <w:sz w:val="20"/>
                <w:szCs w:val="20"/>
                <w:lang w:bidi="ar"/>
              </w:rPr>
              <w:t>审计服务</w:t>
            </w:r>
          </w:p>
        </w:tc>
        <w:tc>
          <w:tcPr>
            <w:tcW w:w="4664" w:type="dxa"/>
            <w:vAlign w:val="center"/>
          </w:tcPr>
          <w:p w14:paraId="103BE997">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1C826377">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35E2A4E2">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18E9DFB3">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427407BD">
            <w:pPr>
              <w:spacing w:line="560" w:lineRule="exact"/>
              <w:jc w:val="center"/>
              <w:rPr>
                <w:rFonts w:hint="eastAsia" w:ascii="Times New Roman"/>
                <w:b w:val="0"/>
                <w:bCs w:val="0"/>
                <w:sz w:val="20"/>
                <w:szCs w:val="20"/>
                <w:vertAlign w:val="baseline"/>
                <w:lang w:val="en-US" w:eastAsia="zh-CN"/>
              </w:rPr>
            </w:pPr>
          </w:p>
        </w:tc>
      </w:tr>
      <w:tr w14:paraId="6191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6B72FE39">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5</w:t>
            </w:r>
          </w:p>
        </w:tc>
        <w:tc>
          <w:tcPr>
            <w:tcW w:w="3259" w:type="dxa"/>
            <w:shd w:val="clear" w:color="auto" w:fill="auto"/>
            <w:vAlign w:val="center"/>
          </w:tcPr>
          <w:p w14:paraId="60E3A3B2">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eastAsia="zh-CN" w:bidi="ar"/>
              </w:rPr>
              <w:t>网络访问</w:t>
            </w:r>
            <w:r>
              <w:rPr>
                <w:rFonts w:ascii="宋体" w:hAnsi="宋体" w:cs="宋体"/>
                <w:color w:val="000000"/>
                <w:sz w:val="20"/>
                <w:szCs w:val="20"/>
                <w:lang w:bidi="ar"/>
              </w:rPr>
              <w:t>行为管理审计服务</w:t>
            </w:r>
          </w:p>
        </w:tc>
        <w:tc>
          <w:tcPr>
            <w:tcW w:w="4664" w:type="dxa"/>
            <w:vAlign w:val="center"/>
          </w:tcPr>
          <w:p w14:paraId="3A23B1EC">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403981E9">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19468D19">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20B4FC54">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06DC36B4">
            <w:pPr>
              <w:spacing w:line="560" w:lineRule="exact"/>
              <w:jc w:val="center"/>
              <w:rPr>
                <w:rFonts w:hint="eastAsia" w:ascii="Times New Roman"/>
                <w:b w:val="0"/>
                <w:bCs w:val="0"/>
                <w:sz w:val="20"/>
                <w:szCs w:val="20"/>
                <w:vertAlign w:val="baseline"/>
                <w:lang w:val="en-US" w:eastAsia="zh-CN"/>
              </w:rPr>
            </w:pPr>
          </w:p>
        </w:tc>
      </w:tr>
      <w:tr w14:paraId="0CF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200A8C7B">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6</w:t>
            </w:r>
          </w:p>
        </w:tc>
        <w:tc>
          <w:tcPr>
            <w:tcW w:w="3259" w:type="dxa"/>
            <w:shd w:val="clear" w:color="auto" w:fill="auto"/>
            <w:vAlign w:val="center"/>
          </w:tcPr>
          <w:p w14:paraId="66F7E551">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eastAsia="zh-CN" w:bidi="ar"/>
              </w:rPr>
              <w:t>网络安全状况</w:t>
            </w:r>
            <w:r>
              <w:rPr>
                <w:rFonts w:ascii="宋体" w:hAnsi="宋体" w:cs="宋体"/>
                <w:color w:val="000000"/>
                <w:sz w:val="20"/>
                <w:szCs w:val="20"/>
                <w:lang w:bidi="ar"/>
              </w:rPr>
              <w:t>检测服务</w:t>
            </w:r>
          </w:p>
        </w:tc>
        <w:tc>
          <w:tcPr>
            <w:tcW w:w="4664" w:type="dxa"/>
            <w:vAlign w:val="center"/>
          </w:tcPr>
          <w:p w14:paraId="02FC364D">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5DC205B7">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75FCA5B0">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0E0C40E7">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6EA24221">
            <w:pPr>
              <w:spacing w:line="560" w:lineRule="exact"/>
              <w:jc w:val="center"/>
              <w:rPr>
                <w:rFonts w:hint="eastAsia" w:ascii="Times New Roman"/>
                <w:b w:val="0"/>
                <w:bCs w:val="0"/>
                <w:sz w:val="20"/>
                <w:szCs w:val="20"/>
                <w:vertAlign w:val="baseline"/>
                <w:lang w:val="en-US" w:eastAsia="zh-CN"/>
              </w:rPr>
            </w:pPr>
          </w:p>
        </w:tc>
      </w:tr>
      <w:tr w14:paraId="7C02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20B3E1D7">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7</w:t>
            </w:r>
          </w:p>
        </w:tc>
        <w:tc>
          <w:tcPr>
            <w:tcW w:w="3259" w:type="dxa"/>
            <w:shd w:val="clear" w:color="auto" w:fill="auto"/>
            <w:vAlign w:val="center"/>
          </w:tcPr>
          <w:p w14:paraId="052DA8EB">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eastAsia="zh-CN" w:bidi="ar"/>
              </w:rPr>
              <w:t>重要资产运行日志审计服务</w:t>
            </w:r>
          </w:p>
        </w:tc>
        <w:tc>
          <w:tcPr>
            <w:tcW w:w="4664" w:type="dxa"/>
            <w:vAlign w:val="center"/>
          </w:tcPr>
          <w:p w14:paraId="05F4406D">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0169FA67">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7A6CBF3B">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171A71C1">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7A747FA6">
            <w:pPr>
              <w:spacing w:line="560" w:lineRule="exact"/>
              <w:jc w:val="center"/>
              <w:rPr>
                <w:rFonts w:hint="eastAsia" w:ascii="Times New Roman"/>
                <w:b w:val="0"/>
                <w:bCs w:val="0"/>
                <w:sz w:val="20"/>
                <w:szCs w:val="20"/>
                <w:vertAlign w:val="baseline"/>
                <w:lang w:val="en-US" w:eastAsia="zh-CN"/>
              </w:rPr>
            </w:pPr>
          </w:p>
        </w:tc>
      </w:tr>
      <w:tr w14:paraId="19D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235973D8">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8</w:t>
            </w:r>
          </w:p>
        </w:tc>
        <w:tc>
          <w:tcPr>
            <w:tcW w:w="3259" w:type="dxa"/>
            <w:shd w:val="clear" w:color="auto" w:fill="auto"/>
            <w:vAlign w:val="center"/>
          </w:tcPr>
          <w:p w14:paraId="71725413">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eastAsia="zh-CN" w:bidi="ar"/>
              </w:rPr>
              <w:t>数据安全服务</w:t>
            </w:r>
          </w:p>
        </w:tc>
        <w:tc>
          <w:tcPr>
            <w:tcW w:w="4664" w:type="dxa"/>
            <w:vAlign w:val="center"/>
          </w:tcPr>
          <w:p w14:paraId="3C1ABC05">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5D6EC193">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2932B146">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1BCE9C18">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6DAABBCD">
            <w:pPr>
              <w:spacing w:line="560" w:lineRule="exact"/>
              <w:jc w:val="center"/>
              <w:rPr>
                <w:rFonts w:hint="eastAsia" w:ascii="Times New Roman"/>
                <w:b w:val="0"/>
                <w:bCs w:val="0"/>
                <w:sz w:val="20"/>
                <w:szCs w:val="20"/>
                <w:vertAlign w:val="baseline"/>
                <w:lang w:val="en-US" w:eastAsia="zh-CN"/>
              </w:rPr>
            </w:pPr>
          </w:p>
        </w:tc>
      </w:tr>
      <w:tr w14:paraId="1222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6" w:type="dxa"/>
            <w:vAlign w:val="center"/>
          </w:tcPr>
          <w:p w14:paraId="09BC6F1F">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9</w:t>
            </w:r>
          </w:p>
        </w:tc>
        <w:tc>
          <w:tcPr>
            <w:tcW w:w="3259" w:type="dxa"/>
            <w:shd w:val="clear" w:color="auto" w:fill="auto"/>
            <w:vAlign w:val="center"/>
          </w:tcPr>
          <w:p w14:paraId="38BEB440">
            <w:pPr>
              <w:pStyle w:val="7"/>
              <w:widowControl w:val="0"/>
              <w:jc w:val="center"/>
              <w:rPr>
                <w:rFonts w:hint="eastAsia" w:ascii="宋体" w:hAnsi="宋体" w:eastAsia="宋体" w:cs="宋体"/>
                <w:color w:val="000000"/>
                <w:sz w:val="20"/>
                <w:szCs w:val="20"/>
                <w:lang w:val="en-US" w:eastAsia="zh-CN" w:bidi="ar"/>
              </w:rPr>
            </w:pPr>
            <w:r>
              <w:rPr>
                <w:rFonts w:ascii="宋体" w:hAnsi="宋体" w:cs="宋体"/>
                <w:color w:val="000000"/>
                <w:sz w:val="20"/>
                <w:szCs w:val="20"/>
                <w:lang w:eastAsia="zh-CN" w:bidi="ar"/>
              </w:rPr>
              <w:t>终端安全管理服务</w:t>
            </w:r>
          </w:p>
        </w:tc>
        <w:tc>
          <w:tcPr>
            <w:tcW w:w="4664" w:type="dxa"/>
            <w:vAlign w:val="center"/>
          </w:tcPr>
          <w:p w14:paraId="507A75F3">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3C0C47A4">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4668A984">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062DBDDB">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38F7F884">
            <w:pPr>
              <w:spacing w:line="560" w:lineRule="exact"/>
              <w:jc w:val="center"/>
              <w:rPr>
                <w:rFonts w:hint="eastAsia" w:ascii="Times New Roman"/>
                <w:b w:val="0"/>
                <w:bCs w:val="0"/>
                <w:sz w:val="20"/>
                <w:szCs w:val="20"/>
                <w:vertAlign w:val="baseline"/>
                <w:lang w:val="en-US" w:eastAsia="zh-CN"/>
              </w:rPr>
            </w:pPr>
          </w:p>
        </w:tc>
      </w:tr>
      <w:tr w14:paraId="611D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vAlign w:val="center"/>
          </w:tcPr>
          <w:p w14:paraId="67010F7E">
            <w:pPr>
              <w:spacing w:line="560" w:lineRule="exact"/>
              <w:jc w:val="center"/>
              <w:rPr>
                <w:rFonts w:hint="default" w:ascii="Times New Roman"/>
                <w:b w:val="0"/>
                <w:bCs w:val="0"/>
                <w:sz w:val="20"/>
                <w:szCs w:val="20"/>
                <w:vertAlign w:val="baseline"/>
                <w:lang w:val="en-US" w:eastAsia="zh-CN"/>
              </w:rPr>
            </w:pPr>
            <w:r>
              <w:rPr>
                <w:rFonts w:hint="eastAsia" w:ascii="Times New Roman"/>
                <w:b w:val="0"/>
                <w:bCs w:val="0"/>
                <w:sz w:val="20"/>
                <w:szCs w:val="20"/>
                <w:vertAlign w:val="baseline"/>
                <w:lang w:val="en-US" w:eastAsia="zh-CN"/>
              </w:rPr>
              <w:t>10</w:t>
            </w:r>
          </w:p>
        </w:tc>
        <w:tc>
          <w:tcPr>
            <w:tcW w:w="3259" w:type="dxa"/>
            <w:shd w:val="clear" w:color="auto" w:fill="auto"/>
            <w:vAlign w:val="center"/>
          </w:tcPr>
          <w:p w14:paraId="5B1E08A2">
            <w:pPr>
              <w:pStyle w:val="7"/>
              <w:widowControl w:val="0"/>
              <w:jc w:val="center"/>
              <w:rPr>
                <w:rFonts w:hint="eastAsia" w:ascii="宋体" w:hAnsi="宋体" w:eastAsia="宋体" w:cs="宋体"/>
                <w:color w:val="000000"/>
                <w:sz w:val="20"/>
                <w:szCs w:val="20"/>
                <w:lang w:val="en-US" w:eastAsia="zh-CN" w:bidi="ar-SA"/>
              </w:rPr>
            </w:pPr>
            <w:r>
              <w:rPr>
                <w:rFonts w:ascii="宋体" w:hAnsi="宋体" w:cs="宋体"/>
                <w:color w:val="000000"/>
                <w:sz w:val="20"/>
                <w:szCs w:val="20"/>
                <w:lang w:eastAsia="zh-CN"/>
              </w:rPr>
              <w:t>一体化智能监控运维管理服务</w:t>
            </w:r>
          </w:p>
        </w:tc>
        <w:tc>
          <w:tcPr>
            <w:tcW w:w="4664" w:type="dxa"/>
            <w:vAlign w:val="center"/>
          </w:tcPr>
          <w:p w14:paraId="0ED31190">
            <w:pPr>
              <w:spacing w:line="560" w:lineRule="exact"/>
              <w:jc w:val="center"/>
              <w:rPr>
                <w:rFonts w:hint="eastAsia" w:ascii="Times New Roman"/>
                <w:b w:val="0"/>
                <w:bCs w:val="0"/>
                <w:sz w:val="20"/>
                <w:szCs w:val="20"/>
                <w:vertAlign w:val="baseline"/>
                <w:lang w:val="en-US" w:eastAsia="zh-CN"/>
              </w:rPr>
            </w:pPr>
          </w:p>
        </w:tc>
        <w:tc>
          <w:tcPr>
            <w:tcW w:w="1418" w:type="dxa"/>
            <w:vAlign w:val="center"/>
          </w:tcPr>
          <w:p w14:paraId="09F69FE7">
            <w:pPr>
              <w:spacing w:line="560" w:lineRule="exact"/>
              <w:jc w:val="center"/>
              <w:rPr>
                <w:rFonts w:hint="eastAsia" w:ascii="Times New Roman"/>
                <w:b w:val="0"/>
                <w:bCs w:val="0"/>
                <w:sz w:val="20"/>
                <w:szCs w:val="20"/>
                <w:vertAlign w:val="baseline"/>
                <w:lang w:val="en-US" w:eastAsia="zh-CN"/>
              </w:rPr>
            </w:pPr>
          </w:p>
        </w:tc>
        <w:tc>
          <w:tcPr>
            <w:tcW w:w="1118" w:type="dxa"/>
            <w:vAlign w:val="center"/>
          </w:tcPr>
          <w:p w14:paraId="112DB825">
            <w:pPr>
              <w:spacing w:line="560" w:lineRule="exact"/>
              <w:jc w:val="center"/>
              <w:rPr>
                <w:rFonts w:hint="eastAsia" w:ascii="Times New Roman"/>
                <w:b w:val="0"/>
                <w:bCs w:val="0"/>
                <w:sz w:val="20"/>
                <w:szCs w:val="20"/>
                <w:vertAlign w:val="baseline"/>
                <w:lang w:val="en-US" w:eastAsia="zh-CN"/>
              </w:rPr>
            </w:pPr>
          </w:p>
        </w:tc>
        <w:tc>
          <w:tcPr>
            <w:tcW w:w="1282" w:type="dxa"/>
            <w:vAlign w:val="center"/>
          </w:tcPr>
          <w:p w14:paraId="4B42060C">
            <w:pPr>
              <w:spacing w:line="560" w:lineRule="exact"/>
              <w:jc w:val="center"/>
              <w:rPr>
                <w:rFonts w:hint="eastAsia" w:ascii="Times New Roman"/>
                <w:b w:val="0"/>
                <w:bCs w:val="0"/>
                <w:sz w:val="20"/>
                <w:szCs w:val="20"/>
                <w:vertAlign w:val="baseline"/>
                <w:lang w:val="en-US" w:eastAsia="zh-CN"/>
              </w:rPr>
            </w:pPr>
          </w:p>
        </w:tc>
        <w:tc>
          <w:tcPr>
            <w:tcW w:w="1531" w:type="dxa"/>
            <w:vAlign w:val="center"/>
          </w:tcPr>
          <w:p w14:paraId="07C4CF3F">
            <w:pPr>
              <w:spacing w:line="560" w:lineRule="exact"/>
              <w:jc w:val="center"/>
              <w:rPr>
                <w:rFonts w:hint="eastAsia" w:ascii="Times New Roman"/>
                <w:b w:val="0"/>
                <w:bCs w:val="0"/>
                <w:sz w:val="20"/>
                <w:szCs w:val="20"/>
                <w:vertAlign w:val="baseline"/>
                <w:lang w:val="en-US" w:eastAsia="zh-CN"/>
              </w:rPr>
            </w:pPr>
          </w:p>
        </w:tc>
      </w:tr>
    </w:tbl>
    <w:p w14:paraId="750ECF2E">
      <w:pPr>
        <w:spacing w:line="560" w:lineRule="exact"/>
        <w:jc w:val="both"/>
        <w:rPr>
          <w:rFonts w:hint="eastAsia"/>
          <w:b/>
          <w:bCs/>
          <w:sz w:val="36"/>
          <w:szCs w:val="36"/>
        </w:rPr>
      </w:pPr>
    </w:p>
    <w:p w14:paraId="7D23894E">
      <w:pPr>
        <w:spacing w:line="560" w:lineRule="exact"/>
        <w:ind w:firstLine="482" w:firstLineChars="200"/>
        <w:jc w:val="center"/>
        <w:rPr>
          <w:rFonts w:hint="default" w:ascii="Times New Roman"/>
          <w:b/>
          <w:bCs/>
          <w:sz w:val="36"/>
          <w:szCs w:val="36"/>
          <w:lang w:val="en-US" w:eastAsia="zh-CN"/>
        </w:rPr>
      </w:pPr>
      <w:r>
        <w:rPr>
          <w:rFonts w:hint="eastAsia"/>
          <w:b/>
          <w:bCs/>
          <w:sz w:val="24"/>
          <w:szCs w:val="24"/>
        </w:rPr>
        <w:t>巴中市中医医院（巴中市巴州区人民医院）</w:t>
      </w:r>
      <w:r>
        <w:rPr>
          <w:rFonts w:hint="eastAsia" w:ascii="Times New Roman"/>
          <w:b/>
          <w:bCs/>
          <w:sz w:val="24"/>
          <w:szCs w:val="24"/>
        </w:rPr>
        <w:t>三级等保安全整改（网络安全服务）</w:t>
      </w:r>
      <w:r>
        <w:rPr>
          <w:rFonts w:hint="eastAsia" w:ascii="Times New Roman"/>
          <w:b/>
          <w:bCs/>
          <w:sz w:val="24"/>
          <w:szCs w:val="24"/>
          <w:lang w:val="en-US" w:eastAsia="zh-CN"/>
        </w:rPr>
        <w:t>每年总服务费：</w:t>
      </w:r>
      <w:r>
        <w:rPr>
          <w:rFonts w:hint="eastAsia" w:ascii="Times New Roman"/>
          <w:b/>
          <w:bCs/>
          <w:sz w:val="24"/>
          <w:szCs w:val="24"/>
          <w:u w:val="single"/>
          <w:lang w:val="en-US" w:eastAsia="zh-CN"/>
        </w:rPr>
        <w:t xml:space="preserve">           </w:t>
      </w:r>
      <w:r>
        <w:rPr>
          <w:rFonts w:hint="eastAsia" w:ascii="Times New Roman"/>
          <w:b/>
          <w:bCs/>
          <w:sz w:val="24"/>
          <w:szCs w:val="24"/>
          <w:u w:val="none"/>
          <w:lang w:val="en-US" w:eastAsia="zh-CN"/>
        </w:rPr>
        <w:t>万元。</w:t>
      </w:r>
      <w:r>
        <w:rPr>
          <w:rFonts w:hint="eastAsia" w:ascii="Times New Roman"/>
          <w:b w:val="0"/>
          <w:bCs w:val="0"/>
          <w:sz w:val="24"/>
          <w:szCs w:val="24"/>
          <w:u w:val="none"/>
          <w:lang w:val="en-US" w:eastAsia="zh-CN"/>
        </w:rPr>
        <w:t xml:space="preserve">   </w:t>
      </w:r>
    </w:p>
    <w:sectPr>
      <w:headerReference r:id="rId3" w:type="default"/>
      <w:footerReference r:id="rId4" w:type="default"/>
      <w:pgSz w:w="16838" w:h="11906" w:orient="landscape"/>
      <w:pgMar w:top="960" w:right="1440" w:bottom="106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4D7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721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721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78B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81919"/>
    <w:multiLevelType w:val="singleLevel"/>
    <w:tmpl w:val="94E81919"/>
    <w:lvl w:ilvl="0" w:tentative="0">
      <w:start w:val="1"/>
      <w:numFmt w:val="decimal"/>
      <w:suff w:val="nothing"/>
      <w:lvlText w:val="%1．"/>
      <w:lvlJc w:val="left"/>
      <w:pPr>
        <w:ind w:left="0" w:firstLine="4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975C7"/>
    <w:rsid w:val="0BEA58E4"/>
    <w:rsid w:val="14C975C7"/>
    <w:rsid w:val="36315AAC"/>
    <w:rsid w:val="4D0422F0"/>
    <w:rsid w:val="5A76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10876</Words>
  <Characters>12251</Characters>
  <Lines>0</Lines>
  <Paragraphs>0</Paragraphs>
  <TotalTime>1</TotalTime>
  <ScaleCrop>false</ScaleCrop>
  <LinksUpToDate>false</LinksUpToDate>
  <CharactersWithSpaces>12410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2025-10-31T07:10:00Z</dcterms:created>
  <dc:creator>牟涛</dc:creator>
  <cp:lastModifiedBy>Administrator</cp:lastModifiedBy>
  <dcterms:modified xsi:type="dcterms:W3CDTF">2025-10-31T07:53:40Z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4F85BA7687ED4F05A9EEF933DF6D769C_13</vt:lpwstr>
  </property>
  <property fmtid="{D5CDD505-2E9C-101B-9397-08002B2CF9AE}" pid="4" name="KSOTemplateDocerSaveRecord">
    <vt:lpwstr>eyJoZGlkIjoiOWZiNDhlNGUxYWMzNWEzZGU5YzcyNTYyYjA1MDcyMjIiLCJ1c2VySWQiOiIxNzUzODk0NzI2In0=</vt:lpwstr>
  </property>
</Properties>
</file>