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59D8B">
      <w:pPr>
        <w:jc w:val="left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附件：</w:t>
      </w:r>
    </w:p>
    <w:p w14:paraId="4ACE108C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信息系统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常态化服务考核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要求</w:t>
      </w:r>
    </w:p>
    <w:bookmarkEnd w:id="0"/>
    <w:p w14:paraId="1AA6110A">
      <w:pPr>
        <w:ind w:firstLine="400" w:firstLineChars="200"/>
        <w:rPr>
          <w:rFonts w:hint="eastAsia"/>
          <w:sz w:val="20"/>
          <w:szCs w:val="22"/>
        </w:rPr>
      </w:pPr>
      <w:r>
        <w:rPr>
          <w:rFonts w:hint="eastAsia"/>
          <w:sz w:val="20"/>
          <w:szCs w:val="22"/>
        </w:rPr>
        <w:t>采购人</w:t>
      </w:r>
      <w:r>
        <w:rPr>
          <w:rFonts w:hint="eastAsia"/>
          <w:sz w:val="20"/>
          <w:szCs w:val="22"/>
          <w:lang w:val="en-US" w:eastAsia="zh-CN"/>
        </w:rPr>
        <w:t>在每个服务年次年1月，</w:t>
      </w:r>
      <w:r>
        <w:rPr>
          <w:rFonts w:hint="eastAsia"/>
          <w:sz w:val="20"/>
          <w:szCs w:val="22"/>
        </w:rPr>
        <w:t>对成交供应商</w:t>
      </w:r>
      <w:r>
        <w:rPr>
          <w:rFonts w:hint="eastAsia"/>
          <w:sz w:val="20"/>
          <w:szCs w:val="22"/>
          <w:lang w:val="en-US" w:eastAsia="zh-CN"/>
        </w:rPr>
        <w:t>上年度相关服务</w:t>
      </w:r>
      <w:r>
        <w:rPr>
          <w:rFonts w:hint="eastAsia"/>
          <w:sz w:val="20"/>
          <w:szCs w:val="22"/>
        </w:rPr>
        <w:t>是否达到服务数量及质量按照以下办法进行考核</w:t>
      </w:r>
      <w:r>
        <w:rPr>
          <w:rFonts w:hint="eastAsia"/>
          <w:sz w:val="20"/>
          <w:szCs w:val="22"/>
          <w:lang w:eastAsia="zh-CN"/>
        </w:rPr>
        <w:t>。</w:t>
      </w:r>
      <w:r>
        <w:rPr>
          <w:rFonts w:hint="eastAsia"/>
          <w:sz w:val="20"/>
          <w:szCs w:val="22"/>
        </w:rPr>
        <w:t>对达到要求的服务应予以确认，未经确认的服务，相关</w:t>
      </w:r>
      <w:r>
        <w:rPr>
          <w:rFonts w:hint="eastAsia"/>
          <w:sz w:val="20"/>
          <w:szCs w:val="22"/>
          <w:lang w:val="en-US" w:eastAsia="zh-CN"/>
        </w:rPr>
        <w:t>分数</w:t>
      </w:r>
      <w:r>
        <w:rPr>
          <w:rFonts w:hint="eastAsia"/>
          <w:sz w:val="20"/>
          <w:szCs w:val="22"/>
        </w:rPr>
        <w:t>不予计算。</w:t>
      </w:r>
    </w:p>
    <w:p w14:paraId="4660F1E4">
      <w:pPr>
        <w:ind w:firstLine="400" w:firstLineChars="200"/>
        <w:rPr>
          <w:rFonts w:hint="eastAsia" w:eastAsia="宋体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>服务期限：成交供应商对该项目的服务期限最长不应超过三年（期间服务内容及金额均按照招标文件内容执行）。每年服务期满后进行《常态化管理监测服务考核》，考核合格后续签下一年服务合同。常态化管理监测服务考核不合格，待服务商提交整改报告，一个月后验收小组复核，复核合格后续签下一年合同；若连续3次整改后依旧未通过考核，服务中止。</w:t>
      </w:r>
    </w:p>
    <w:tbl>
      <w:tblPr>
        <w:tblStyle w:val="3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345"/>
        <w:gridCol w:w="3397"/>
        <w:gridCol w:w="3006"/>
      </w:tblGrid>
      <w:tr w14:paraId="0A4EE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81" w:type="dxa"/>
            <w:noWrap w:val="0"/>
            <w:vAlign w:val="center"/>
          </w:tcPr>
          <w:p w14:paraId="29B5D4EA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序号</w:t>
            </w:r>
          </w:p>
        </w:tc>
        <w:tc>
          <w:tcPr>
            <w:tcW w:w="1345" w:type="dxa"/>
            <w:noWrap w:val="0"/>
            <w:vAlign w:val="center"/>
          </w:tcPr>
          <w:p w14:paraId="31819A09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考核项目</w:t>
            </w:r>
          </w:p>
        </w:tc>
        <w:tc>
          <w:tcPr>
            <w:tcW w:w="3397" w:type="dxa"/>
            <w:noWrap w:val="0"/>
            <w:vAlign w:val="center"/>
          </w:tcPr>
          <w:p w14:paraId="5F838BE8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考核内容及分值</w:t>
            </w:r>
          </w:p>
        </w:tc>
        <w:tc>
          <w:tcPr>
            <w:tcW w:w="3006" w:type="dxa"/>
            <w:noWrap w:val="0"/>
            <w:vAlign w:val="center"/>
          </w:tcPr>
          <w:p w14:paraId="0EC85D79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考核标准</w:t>
            </w:r>
          </w:p>
        </w:tc>
      </w:tr>
      <w:tr w14:paraId="4AE09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noWrap w:val="0"/>
            <w:vAlign w:val="center"/>
          </w:tcPr>
          <w:p w14:paraId="63D2BEAD"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</w:t>
            </w:r>
          </w:p>
        </w:tc>
        <w:tc>
          <w:tcPr>
            <w:tcW w:w="1345" w:type="dxa"/>
            <w:noWrap w:val="0"/>
            <w:vAlign w:val="center"/>
          </w:tcPr>
          <w:p w14:paraId="5F4628A0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人员配置</w:t>
            </w:r>
          </w:p>
        </w:tc>
        <w:tc>
          <w:tcPr>
            <w:tcW w:w="3397" w:type="dxa"/>
            <w:noWrap w:val="0"/>
            <w:vAlign w:val="center"/>
          </w:tcPr>
          <w:p w14:paraId="31121509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配置的专职运营维护人员和服务技术人员能满足项目实际需要：8分；</w:t>
            </w:r>
          </w:p>
        </w:tc>
        <w:tc>
          <w:tcPr>
            <w:tcW w:w="3006" w:type="dxa"/>
            <w:noWrap w:val="0"/>
            <w:vAlign w:val="center"/>
          </w:tcPr>
          <w:p w14:paraId="26029089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能满足需要得8分，否则 得0分；</w:t>
            </w:r>
          </w:p>
        </w:tc>
      </w:tr>
      <w:tr w14:paraId="54483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noWrap w:val="0"/>
            <w:vAlign w:val="center"/>
          </w:tcPr>
          <w:p w14:paraId="29300E00"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2</w:t>
            </w:r>
          </w:p>
        </w:tc>
        <w:tc>
          <w:tcPr>
            <w:tcW w:w="1345" w:type="dxa"/>
            <w:noWrap w:val="0"/>
            <w:vAlign w:val="center"/>
          </w:tcPr>
          <w:p w14:paraId="51ABA298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培训服务</w:t>
            </w:r>
          </w:p>
        </w:tc>
        <w:tc>
          <w:tcPr>
            <w:tcW w:w="3397" w:type="dxa"/>
            <w:noWrap w:val="0"/>
            <w:vAlign w:val="center"/>
          </w:tcPr>
          <w:p w14:paraId="0C4BE46D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按用户需求提供相关培训手册及培训服务。满足使用人员对系统使用及操作要求，双方确认培训服务成效：10分；</w:t>
            </w:r>
          </w:p>
        </w:tc>
        <w:tc>
          <w:tcPr>
            <w:tcW w:w="3006" w:type="dxa"/>
            <w:noWrap w:val="0"/>
            <w:vAlign w:val="center"/>
          </w:tcPr>
          <w:p w14:paraId="13188CC1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因供应商原因导致培训服务不达标，扣5分/次；</w:t>
            </w:r>
          </w:p>
        </w:tc>
      </w:tr>
      <w:tr w14:paraId="5C3B1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noWrap w:val="0"/>
            <w:vAlign w:val="center"/>
          </w:tcPr>
          <w:p w14:paraId="67F7FA89"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3</w:t>
            </w:r>
          </w:p>
        </w:tc>
        <w:tc>
          <w:tcPr>
            <w:tcW w:w="1345" w:type="dxa"/>
            <w:noWrap w:val="0"/>
            <w:vAlign w:val="center"/>
          </w:tcPr>
          <w:p w14:paraId="33A12276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巡查服务</w:t>
            </w:r>
          </w:p>
        </w:tc>
        <w:tc>
          <w:tcPr>
            <w:tcW w:w="3397" w:type="dxa"/>
            <w:noWrap w:val="0"/>
            <w:vAlign w:val="center"/>
          </w:tcPr>
          <w:p w14:paraId="54F622D2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每月对项目系统和设备全面巡查1次并解决潜在的问题，避免发生系统性风险：12分；</w:t>
            </w:r>
          </w:p>
        </w:tc>
        <w:tc>
          <w:tcPr>
            <w:tcW w:w="3006" w:type="dxa"/>
            <w:noWrap w:val="0"/>
            <w:vAlign w:val="center"/>
          </w:tcPr>
          <w:p w14:paraId="6B4ECF0C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巡查率应为100%，每少一 个百分点扣1分，扣完为止；</w:t>
            </w:r>
          </w:p>
        </w:tc>
      </w:tr>
      <w:tr w14:paraId="51943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noWrap w:val="0"/>
            <w:vAlign w:val="center"/>
          </w:tcPr>
          <w:p w14:paraId="2895A956"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4</w:t>
            </w:r>
          </w:p>
        </w:tc>
        <w:tc>
          <w:tcPr>
            <w:tcW w:w="1345" w:type="dxa"/>
            <w:noWrap w:val="0"/>
            <w:vAlign w:val="center"/>
          </w:tcPr>
          <w:p w14:paraId="2426755E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设备及平台维护</w:t>
            </w:r>
          </w:p>
        </w:tc>
        <w:tc>
          <w:tcPr>
            <w:tcW w:w="3397" w:type="dxa"/>
            <w:noWrap w:val="0"/>
            <w:vAlign w:val="center"/>
          </w:tcPr>
          <w:p w14:paraId="074847D1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每月保证设备整体正常运行率不得低于95%。每月平台正常运行率不得低于98%：25分；</w:t>
            </w:r>
          </w:p>
        </w:tc>
        <w:tc>
          <w:tcPr>
            <w:tcW w:w="3006" w:type="dxa"/>
            <w:noWrap w:val="0"/>
            <w:vAlign w:val="center"/>
          </w:tcPr>
          <w:p w14:paraId="109F9E3E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每少一个百分点扣2分，扣完为止；</w:t>
            </w:r>
          </w:p>
        </w:tc>
      </w:tr>
      <w:tr w14:paraId="20818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noWrap w:val="0"/>
            <w:vAlign w:val="center"/>
          </w:tcPr>
          <w:p w14:paraId="33DF72B5"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5</w:t>
            </w:r>
          </w:p>
        </w:tc>
        <w:tc>
          <w:tcPr>
            <w:tcW w:w="1345" w:type="dxa"/>
            <w:noWrap w:val="0"/>
            <w:vAlign w:val="center"/>
          </w:tcPr>
          <w:p w14:paraId="2646626E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系统运行情况月报</w:t>
            </w:r>
          </w:p>
        </w:tc>
        <w:tc>
          <w:tcPr>
            <w:tcW w:w="3397" w:type="dxa"/>
            <w:noWrap w:val="0"/>
            <w:vAlign w:val="center"/>
          </w:tcPr>
          <w:p w14:paraId="225CD6C0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供应商每月5日前汇报上月系统运行情况，出具书面系统运行巡查、分析报告，统计数据表册：5分；</w:t>
            </w:r>
          </w:p>
        </w:tc>
        <w:tc>
          <w:tcPr>
            <w:tcW w:w="3006" w:type="dxa"/>
            <w:noWrap w:val="0"/>
            <w:vAlign w:val="center"/>
          </w:tcPr>
          <w:p w14:paraId="2CB9062F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未按时提交报告报表的每次扣1分；</w:t>
            </w:r>
          </w:p>
        </w:tc>
      </w:tr>
      <w:tr w14:paraId="2F5B3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noWrap w:val="0"/>
            <w:vAlign w:val="center"/>
          </w:tcPr>
          <w:p w14:paraId="4E4C228E"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6</w:t>
            </w:r>
          </w:p>
        </w:tc>
        <w:tc>
          <w:tcPr>
            <w:tcW w:w="1345" w:type="dxa"/>
            <w:noWrap w:val="0"/>
            <w:vAlign w:val="center"/>
          </w:tcPr>
          <w:p w14:paraId="2A46508F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故障申报热线电话应答</w:t>
            </w:r>
          </w:p>
        </w:tc>
        <w:tc>
          <w:tcPr>
            <w:tcW w:w="3397" w:type="dxa"/>
            <w:noWrap w:val="0"/>
            <w:vAlign w:val="center"/>
          </w:tcPr>
          <w:p w14:paraId="37FE4C97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sz w:val="20"/>
                <w:szCs w:val="22"/>
                <w:lang w:val="en-US" w:eastAsia="zh-CN"/>
              </w:rPr>
              <w:t>提供7×24小时的故障响应：一般情况下，在15分钟以内响应；如电话连续3次以上拨打无人接听，视为无响应：10分；</w:t>
            </w:r>
          </w:p>
        </w:tc>
        <w:tc>
          <w:tcPr>
            <w:tcW w:w="3006" w:type="dxa"/>
            <w:noWrap w:val="0"/>
            <w:vAlign w:val="center"/>
          </w:tcPr>
          <w:p w14:paraId="62DD3FC5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无响应或超时响应每次扣2分、因响应不及时影响医院业务正常运行造成损失每次扣10分；</w:t>
            </w:r>
          </w:p>
        </w:tc>
      </w:tr>
      <w:tr w14:paraId="08455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noWrap w:val="0"/>
            <w:vAlign w:val="center"/>
          </w:tcPr>
          <w:p w14:paraId="0C2E9D65"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7</w:t>
            </w:r>
          </w:p>
        </w:tc>
        <w:tc>
          <w:tcPr>
            <w:tcW w:w="1345" w:type="dxa"/>
            <w:noWrap w:val="0"/>
            <w:vAlign w:val="center"/>
          </w:tcPr>
          <w:p w14:paraId="67BFB3E4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故障处理时效</w:t>
            </w:r>
          </w:p>
        </w:tc>
        <w:tc>
          <w:tcPr>
            <w:tcW w:w="3397" w:type="dxa"/>
            <w:noWrap w:val="0"/>
            <w:vAlign w:val="center"/>
          </w:tcPr>
          <w:p w14:paraId="2A44FE98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一般故障2小时内恢复，重大故障8小时内恢复：20分；</w:t>
            </w:r>
          </w:p>
        </w:tc>
        <w:tc>
          <w:tcPr>
            <w:tcW w:w="3006" w:type="dxa"/>
            <w:noWrap w:val="0"/>
            <w:vAlign w:val="center"/>
          </w:tcPr>
          <w:p w14:paraId="13D665D9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超出时效范围的，按照受影响的前端点位数进行扣分，2分/点位数；</w:t>
            </w:r>
          </w:p>
        </w:tc>
      </w:tr>
      <w:tr w14:paraId="7FE2A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noWrap w:val="0"/>
            <w:vAlign w:val="center"/>
          </w:tcPr>
          <w:p w14:paraId="7B513B31"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8</w:t>
            </w:r>
          </w:p>
        </w:tc>
        <w:tc>
          <w:tcPr>
            <w:tcW w:w="1345" w:type="dxa"/>
            <w:noWrap w:val="0"/>
            <w:vAlign w:val="center"/>
          </w:tcPr>
          <w:p w14:paraId="0EE2C8CD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系统更新服务</w:t>
            </w:r>
          </w:p>
        </w:tc>
        <w:tc>
          <w:tcPr>
            <w:tcW w:w="3397" w:type="dxa"/>
            <w:noWrap w:val="0"/>
            <w:vAlign w:val="center"/>
          </w:tcPr>
          <w:p w14:paraId="2372C6DA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供应商必须及时给采购人提供和安装最新的系统升级包、补丁包：10分；</w:t>
            </w:r>
          </w:p>
        </w:tc>
        <w:tc>
          <w:tcPr>
            <w:tcW w:w="3006" w:type="dxa"/>
            <w:noWrap w:val="0"/>
            <w:vAlign w:val="center"/>
          </w:tcPr>
          <w:p w14:paraId="0965DF10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未及时更新，每次扣2分；</w:t>
            </w:r>
          </w:p>
        </w:tc>
      </w:tr>
      <w:tr w14:paraId="46965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noWrap w:val="0"/>
            <w:vAlign w:val="center"/>
          </w:tcPr>
          <w:p w14:paraId="08C898D6"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9</w:t>
            </w:r>
          </w:p>
        </w:tc>
        <w:tc>
          <w:tcPr>
            <w:tcW w:w="1345" w:type="dxa"/>
            <w:noWrap w:val="0"/>
            <w:vAlign w:val="center"/>
          </w:tcPr>
          <w:p w14:paraId="6AD5BC4A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考核结果应用</w:t>
            </w:r>
          </w:p>
        </w:tc>
        <w:tc>
          <w:tcPr>
            <w:tcW w:w="6403" w:type="dxa"/>
            <w:gridSpan w:val="2"/>
            <w:noWrap w:val="0"/>
            <w:vAlign w:val="center"/>
          </w:tcPr>
          <w:p w14:paraId="2ED29E9D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如果服务提供商年考核得分在90分及90分以上，视为服务合格；考核得分在90分以下，服务商须提交整改报告并扣除全款10%的服务费。</w:t>
            </w:r>
          </w:p>
        </w:tc>
      </w:tr>
    </w:tbl>
    <w:tbl>
      <w:tblPr>
        <w:tblStyle w:val="2"/>
        <w:tblW w:w="8529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345"/>
        <w:gridCol w:w="6403"/>
      </w:tblGrid>
      <w:tr w14:paraId="06456B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80" w:type="dxa"/>
            <w:noWrap w:val="0"/>
            <w:vAlign w:val="center"/>
          </w:tcPr>
          <w:p w14:paraId="5499FB57"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10</w:t>
            </w:r>
          </w:p>
        </w:tc>
        <w:tc>
          <w:tcPr>
            <w:tcW w:w="1344" w:type="dxa"/>
            <w:noWrap w:val="0"/>
            <w:vAlign w:val="center"/>
          </w:tcPr>
          <w:p w14:paraId="28440807"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Hans"/>
              </w:rPr>
              <w:t>支付方式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及比例</w:t>
            </w:r>
          </w:p>
        </w:tc>
        <w:tc>
          <w:tcPr>
            <w:tcW w:w="6398" w:type="dxa"/>
            <w:noWrap w:val="0"/>
            <w:vAlign w:val="center"/>
          </w:tcPr>
          <w:p w14:paraId="74EEB3F5"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年度服务费根据当年度《常态化服务考核》最终得分按约定一次性支付；</w:t>
            </w:r>
          </w:p>
        </w:tc>
      </w:tr>
    </w:tbl>
    <w:p w14:paraId="56301601">
      <w:pPr>
        <w:rPr>
          <w:rFonts w:hint="eastAsia" w:ascii="仿宋" w:hAnsi="仿宋" w:eastAsia="仿宋" w:cs="仿宋"/>
          <w:sz w:val="24"/>
          <w:szCs w:val="24"/>
        </w:rPr>
      </w:pPr>
    </w:p>
    <w:p w14:paraId="20EE78E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30438"/>
    <w:rsid w:val="4283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2026-02-27T03:42:00Z</dcterms:created>
  <dc:creator>张力丹</dc:creator>
  <cp:lastModifiedBy>张力丹</cp:lastModifiedBy>
  <dcterms:modified xsi:type="dcterms:W3CDTF">2026-02-27T03:42:48Z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327C57B7FD6948F9963A8C4C0FB2DE91_11</vt:lpwstr>
  </property>
  <property fmtid="{D5CDD505-2E9C-101B-9397-08002B2CF9AE}" pid="4" name="KSOTemplateDocerSaveRecord">
    <vt:lpwstr>eyJoZGlkIjoiZDExNjk4OWI0NTEyZDY2NjMxNWRhNzMxNDU1NWNlNjYiLCJ1c2VySWQiOiIxNzUzMzkyODQ5In0=</vt:lpwstr>
  </property>
</Properties>
</file>