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9ABB6">
      <w:pPr>
        <w:pStyle w:val="4"/>
        <w:numPr>
          <w:ilvl w:val="0"/>
          <w:numId w:val="0"/>
        </w:numPr>
        <w:jc w:val="both"/>
        <w:rPr>
          <w:rFonts w:hint="default"/>
          <w:b/>
          <w:bCs w:val="0"/>
          <w:color w:val="000000" w:themeColor="text1"/>
          <w:sz w:val="28"/>
          <w:szCs w:val="28"/>
          <w:highlight w:val="none"/>
          <w:lang w:val="en-US" w:eastAsia="zh-CN"/>
          <w14:textFill>
            <w14:solidFill>
              <w14:schemeClr w14:val="tx1"/>
            </w14:solidFill>
          </w14:textFill>
        </w:rPr>
      </w:pPr>
      <w:r>
        <w:rPr>
          <w:rFonts w:hint="eastAsia"/>
          <w:b/>
          <w:bCs w:val="0"/>
          <w:color w:val="000000" w:themeColor="text1"/>
          <w:sz w:val="28"/>
          <w:szCs w:val="28"/>
          <w:highlight w:val="none"/>
          <w:lang w:val="en-US" w:eastAsia="zh-CN"/>
          <w14:textFill>
            <w14:solidFill>
              <w14:schemeClr w14:val="tx1"/>
            </w14:solidFill>
          </w14:textFill>
        </w:rPr>
        <w:t>附件2</w:t>
      </w:r>
    </w:p>
    <w:p w14:paraId="24B515B9">
      <w:pPr>
        <w:pStyle w:val="4"/>
        <w:numPr>
          <w:ilvl w:val="0"/>
          <w:numId w:val="0"/>
        </w:numPr>
        <w:rPr>
          <w:rFonts w:hint="eastAsia"/>
          <w:color w:val="000000" w:themeColor="text1"/>
          <w:sz w:val="32"/>
          <w:szCs w:val="32"/>
          <w:highlight w:val="none"/>
          <w:lang w:eastAsia="zh-CN"/>
          <w14:textFill>
            <w14:solidFill>
              <w14:schemeClr w14:val="tx1"/>
            </w14:solidFill>
          </w14:textFill>
        </w:rPr>
      </w:pPr>
      <w:bookmarkStart w:id="0" w:name="_Toc3340"/>
      <w:r>
        <w:rPr>
          <w:color w:val="000000" w:themeColor="text1"/>
          <w:sz w:val="32"/>
          <w:szCs w:val="32"/>
          <w:highlight w:val="none"/>
          <w14:textFill>
            <w14:solidFill>
              <w14:schemeClr w14:val="tx1"/>
            </w14:solidFill>
          </w14:textFill>
        </w:rPr>
        <w:t xml:space="preserve"> </w:t>
      </w:r>
      <w:bookmarkEnd w:id="0"/>
      <w:r>
        <w:rPr>
          <w:rFonts w:hint="eastAsia"/>
          <w:color w:val="000000" w:themeColor="text1"/>
          <w:sz w:val="32"/>
          <w:szCs w:val="32"/>
          <w:highlight w:val="none"/>
          <w:lang w:eastAsia="zh-CN"/>
          <w14:textFill>
            <w14:solidFill>
              <w14:schemeClr w14:val="tx1"/>
            </w14:solidFill>
          </w14:textFill>
        </w:rPr>
        <w:t>综合评分表</w:t>
      </w:r>
      <w:bookmarkStart w:id="1" w:name="_GoBack"/>
      <w:bookmarkEnd w:id="1"/>
    </w:p>
    <w:tbl>
      <w:tblPr>
        <w:tblStyle w:val="5"/>
        <w:tblpPr w:leftFromText="180" w:rightFromText="180" w:vertAnchor="text" w:horzAnchor="page" w:tblpXSpec="center" w:tblpY="288"/>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723"/>
        <w:gridCol w:w="836"/>
        <w:gridCol w:w="5400"/>
        <w:gridCol w:w="1005"/>
      </w:tblGrid>
      <w:tr w14:paraId="3169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65" w:type="dxa"/>
            <w:noWrap w:val="0"/>
            <w:vAlign w:val="center"/>
          </w:tcPr>
          <w:p w14:paraId="45720710">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1723" w:type="dxa"/>
            <w:noWrap w:val="0"/>
            <w:vAlign w:val="center"/>
          </w:tcPr>
          <w:p w14:paraId="537E4A3E">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rPr>
            </w:pPr>
            <w:r>
              <w:rPr>
                <w:rFonts w:hint="eastAsia" w:ascii="宋体" w:hAnsi="宋体" w:eastAsia="宋体" w:cs="宋体"/>
                <w:color w:val="auto"/>
                <w:sz w:val="21"/>
                <w:szCs w:val="21"/>
                <w:highlight w:val="none"/>
              </w:rPr>
              <w:t>评分因素及权重</w:t>
            </w:r>
          </w:p>
        </w:tc>
        <w:tc>
          <w:tcPr>
            <w:tcW w:w="836" w:type="dxa"/>
            <w:noWrap w:val="0"/>
            <w:vAlign w:val="center"/>
          </w:tcPr>
          <w:p w14:paraId="01B02C97">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rPr>
            </w:pPr>
            <w:r>
              <w:rPr>
                <w:rFonts w:hint="eastAsia" w:ascii="宋体" w:hAnsi="宋体" w:eastAsia="宋体" w:cs="宋体"/>
                <w:color w:val="auto"/>
                <w:sz w:val="21"/>
                <w:szCs w:val="21"/>
                <w:highlight w:val="none"/>
              </w:rPr>
              <w:t>分值</w:t>
            </w:r>
          </w:p>
        </w:tc>
        <w:tc>
          <w:tcPr>
            <w:tcW w:w="5400" w:type="dxa"/>
            <w:noWrap w:val="0"/>
            <w:vAlign w:val="center"/>
          </w:tcPr>
          <w:p w14:paraId="630860F2">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rPr>
            </w:pPr>
            <w:r>
              <w:rPr>
                <w:rFonts w:hint="eastAsia" w:ascii="宋体" w:hAnsi="宋体" w:eastAsia="宋体" w:cs="宋体"/>
                <w:color w:val="auto"/>
                <w:sz w:val="24"/>
                <w:szCs w:val="24"/>
                <w:highlight w:val="none"/>
              </w:rPr>
              <w:t>评分标准</w:t>
            </w:r>
          </w:p>
        </w:tc>
        <w:tc>
          <w:tcPr>
            <w:tcW w:w="1005" w:type="dxa"/>
            <w:noWrap w:val="0"/>
            <w:vAlign w:val="center"/>
          </w:tcPr>
          <w:p w14:paraId="1E90118F">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rPr>
            </w:pPr>
            <w:r>
              <w:rPr>
                <w:rFonts w:hint="eastAsia" w:ascii="宋体" w:hAnsi="宋体" w:eastAsia="宋体" w:cs="宋体"/>
                <w:color w:val="auto"/>
                <w:sz w:val="21"/>
                <w:szCs w:val="21"/>
                <w:highlight w:val="none"/>
              </w:rPr>
              <w:t>说明</w:t>
            </w:r>
          </w:p>
        </w:tc>
      </w:tr>
      <w:tr w14:paraId="1215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465" w:type="dxa"/>
            <w:noWrap w:val="0"/>
            <w:vAlign w:val="center"/>
          </w:tcPr>
          <w:p w14:paraId="62E46412">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23" w:type="dxa"/>
            <w:noWrap w:val="0"/>
            <w:vAlign w:val="center"/>
          </w:tcPr>
          <w:p w14:paraId="6A548C0C">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报价</w:t>
            </w:r>
            <w:r>
              <w:rPr>
                <w:rFonts w:hint="eastAsia" w:ascii="仿宋_GB2312" w:hAnsi="仿宋_GB2312" w:cs="仿宋_GB2312"/>
                <w:color w:val="auto"/>
                <w:sz w:val="22"/>
                <w:szCs w:val="22"/>
                <w:highlight w:val="none"/>
                <w:lang w:val="en-US" w:eastAsia="zh-CN"/>
              </w:rPr>
              <w:t>10</w:t>
            </w:r>
            <w:r>
              <w:rPr>
                <w:rFonts w:hint="eastAsia" w:ascii="仿宋_GB2312" w:hAnsi="仿宋_GB2312" w:eastAsia="仿宋_GB2312" w:cs="仿宋_GB2312"/>
                <w:color w:val="auto"/>
                <w:sz w:val="22"/>
                <w:szCs w:val="22"/>
                <w:highlight w:val="none"/>
              </w:rPr>
              <w:t>%</w:t>
            </w:r>
          </w:p>
        </w:tc>
        <w:tc>
          <w:tcPr>
            <w:tcW w:w="836" w:type="dxa"/>
            <w:noWrap w:val="0"/>
            <w:vAlign w:val="center"/>
          </w:tcPr>
          <w:p w14:paraId="067FC6AC">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cs="仿宋_GB2312"/>
                <w:color w:val="auto"/>
                <w:sz w:val="22"/>
                <w:szCs w:val="22"/>
                <w:highlight w:val="none"/>
                <w:lang w:val="en-US" w:eastAsia="zh-CN"/>
              </w:rPr>
              <w:t>10</w:t>
            </w:r>
            <w:r>
              <w:rPr>
                <w:rFonts w:hint="eastAsia" w:ascii="仿宋_GB2312" w:hAnsi="仿宋_GB2312" w:eastAsia="仿宋_GB2312" w:cs="仿宋_GB2312"/>
                <w:color w:val="auto"/>
                <w:sz w:val="22"/>
                <w:szCs w:val="22"/>
                <w:highlight w:val="none"/>
              </w:rPr>
              <w:t>分</w:t>
            </w:r>
          </w:p>
        </w:tc>
        <w:tc>
          <w:tcPr>
            <w:tcW w:w="5400" w:type="dxa"/>
            <w:noWrap w:val="0"/>
            <w:vAlign w:val="center"/>
          </w:tcPr>
          <w:p w14:paraId="7EA0952A">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满足磋商文件要求且最后有效报价最低的供应商的价格作为基准价，其价格分为满分，响应报价得分=(磋商基准价/最后有效磋商报价)×10。注：最终结果四舍五入保留小数点后两位。</w:t>
            </w:r>
          </w:p>
        </w:tc>
        <w:tc>
          <w:tcPr>
            <w:tcW w:w="1005" w:type="dxa"/>
            <w:noWrap w:val="0"/>
            <w:vAlign w:val="center"/>
          </w:tcPr>
          <w:p w14:paraId="31C4C7AF">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客观</w:t>
            </w:r>
          </w:p>
        </w:tc>
      </w:tr>
      <w:tr w14:paraId="325E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465" w:type="dxa"/>
            <w:noWrap w:val="0"/>
            <w:vAlign w:val="center"/>
          </w:tcPr>
          <w:p w14:paraId="5F0450F4">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723" w:type="dxa"/>
            <w:noWrap w:val="0"/>
            <w:vAlign w:val="center"/>
          </w:tcPr>
          <w:p w14:paraId="4B7F4479">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服务方案</w:t>
            </w:r>
          </w:p>
          <w:p w14:paraId="78FABFAC">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cs="仿宋_GB2312"/>
                <w:color w:val="auto"/>
                <w:sz w:val="22"/>
                <w:szCs w:val="22"/>
                <w:highlight w:val="none"/>
                <w:lang w:val="en-US" w:eastAsia="zh-CN"/>
              </w:rPr>
              <w:t>40</w:t>
            </w:r>
            <w:r>
              <w:rPr>
                <w:rFonts w:hint="eastAsia" w:ascii="仿宋_GB2312" w:hAnsi="仿宋_GB2312" w:eastAsia="仿宋_GB2312" w:cs="仿宋_GB2312"/>
                <w:color w:val="auto"/>
                <w:sz w:val="22"/>
                <w:szCs w:val="22"/>
                <w:highlight w:val="none"/>
              </w:rPr>
              <w:t>%</w:t>
            </w:r>
          </w:p>
        </w:tc>
        <w:tc>
          <w:tcPr>
            <w:tcW w:w="836" w:type="dxa"/>
            <w:noWrap w:val="0"/>
            <w:vAlign w:val="center"/>
          </w:tcPr>
          <w:p w14:paraId="427788C7">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cs="仿宋_GB2312"/>
                <w:color w:val="auto"/>
                <w:sz w:val="22"/>
                <w:szCs w:val="22"/>
                <w:highlight w:val="none"/>
                <w:lang w:val="en-US" w:eastAsia="zh-CN"/>
              </w:rPr>
              <w:t>40</w:t>
            </w:r>
            <w:r>
              <w:rPr>
                <w:rFonts w:hint="eastAsia" w:ascii="仿宋_GB2312" w:hAnsi="仿宋_GB2312" w:eastAsia="仿宋_GB2312" w:cs="仿宋_GB2312"/>
                <w:color w:val="auto"/>
                <w:sz w:val="22"/>
                <w:szCs w:val="22"/>
                <w:highlight w:val="none"/>
              </w:rPr>
              <w:t>分</w:t>
            </w:r>
          </w:p>
        </w:tc>
        <w:tc>
          <w:tcPr>
            <w:tcW w:w="5400" w:type="dxa"/>
            <w:noWrap w:val="0"/>
            <w:vAlign w:val="center"/>
          </w:tcPr>
          <w:p w14:paraId="5F1397A5">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default"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供应商根据本项目采购需求和技术服务要求提供的项目服务方案，细化量化指标包括：①组织机构；②人员安排及分工</w:t>
            </w:r>
            <w:r>
              <w:rPr>
                <w:rFonts w:hint="eastAsia" w:ascii="仿宋_GB2312" w:hAnsi="仿宋_GB2312" w:cs="仿宋_GB2312"/>
                <w:color w:val="auto"/>
                <w:sz w:val="21"/>
                <w:szCs w:val="21"/>
                <w:highlight w:val="none"/>
                <w:lang w:val="en-US" w:eastAsia="zh-CN"/>
              </w:rPr>
              <w:t>；③服务重点</w:t>
            </w:r>
            <w:r>
              <w:rPr>
                <w:rFonts w:hint="eastAsia" w:ascii="仿宋_GB2312" w:hAnsi="仿宋_GB2312" w:cs="仿宋_GB2312"/>
                <w:color w:val="auto"/>
                <w:sz w:val="21"/>
                <w:szCs w:val="21"/>
                <w:highlight w:val="none"/>
                <w:lang w:val="en-US" w:eastAsia="zh-CN"/>
              </w:rPr>
              <w:t>；④内部控制流程</w:t>
            </w:r>
            <w:r>
              <w:rPr>
                <w:rFonts w:hint="eastAsia" w:ascii="仿宋_GB2312" w:hAnsi="仿宋_GB2312" w:cs="仿宋_GB2312"/>
                <w:color w:val="auto"/>
                <w:sz w:val="21"/>
                <w:szCs w:val="21"/>
                <w:highlight w:val="none"/>
                <w:lang w:val="en-US" w:eastAsia="zh-CN"/>
              </w:rPr>
              <w:t>；⑤进度措施</w:t>
            </w:r>
            <w:r>
              <w:rPr>
                <w:rFonts w:hint="eastAsia" w:ascii="仿宋_GB2312" w:hAnsi="仿宋_GB2312" w:cs="仿宋_GB2312"/>
                <w:color w:val="auto"/>
                <w:sz w:val="21"/>
                <w:szCs w:val="21"/>
                <w:highlight w:val="none"/>
                <w:lang w:val="en-US" w:eastAsia="zh-CN"/>
              </w:rPr>
              <w:t>；⑥工作方法</w:t>
            </w:r>
            <w:r>
              <w:rPr>
                <w:rFonts w:hint="eastAsia" w:ascii="仿宋_GB2312" w:hAnsi="仿宋_GB2312" w:cs="仿宋_GB2312"/>
                <w:color w:val="auto"/>
                <w:sz w:val="21"/>
                <w:szCs w:val="21"/>
                <w:highlight w:val="none"/>
                <w:lang w:val="en-US" w:eastAsia="zh-CN"/>
              </w:rPr>
              <w:t>；⑦质量控制措施</w:t>
            </w:r>
            <w:r>
              <w:rPr>
                <w:rFonts w:hint="eastAsia" w:ascii="仿宋_GB2312" w:hAnsi="仿宋_GB2312" w:cs="仿宋_GB2312"/>
                <w:color w:val="auto"/>
                <w:sz w:val="21"/>
                <w:szCs w:val="21"/>
                <w:highlight w:val="none"/>
                <w:lang w:val="en-US" w:eastAsia="zh-CN"/>
              </w:rPr>
              <w:t>；⑧服务保障措施</w:t>
            </w:r>
            <w:r>
              <w:rPr>
                <w:rFonts w:hint="eastAsia" w:ascii="仿宋_GB2312" w:hAnsi="仿宋_GB2312" w:cs="仿宋_GB2312"/>
                <w:color w:val="auto"/>
                <w:sz w:val="21"/>
                <w:szCs w:val="21"/>
                <w:highlight w:val="none"/>
                <w:lang w:val="en-US" w:eastAsia="zh-CN"/>
              </w:rPr>
              <w:t>；⑨档案资料管理</w:t>
            </w:r>
            <w:r>
              <w:rPr>
                <w:rFonts w:hint="eastAsia" w:ascii="仿宋_GB2312" w:hAnsi="仿宋_GB2312" w:cs="仿宋_GB2312"/>
                <w:color w:val="auto"/>
                <w:sz w:val="21"/>
                <w:szCs w:val="21"/>
                <w:highlight w:val="none"/>
                <w:lang w:val="en-US" w:eastAsia="zh-CN"/>
              </w:rPr>
              <w:t>；⑩服务承诺。以上①-⑩项每项4分，共40分。以上内容完整且符合本项目实际要求的得40分，每缺少一项内容扣4分，每有一项内容缺陷（指项目名称、项目实施地点、引用的标准或规范错误或实施计划超期或承诺的响应时间与要求不符或内容不符合本项目采购需求和技术服务要求或仅有标题无实质性内容或分项内容描述不完整）扣2分。</w:t>
            </w:r>
          </w:p>
        </w:tc>
        <w:tc>
          <w:tcPr>
            <w:tcW w:w="1005" w:type="dxa"/>
            <w:noWrap w:val="0"/>
            <w:vAlign w:val="center"/>
          </w:tcPr>
          <w:p w14:paraId="74ADCCD8">
            <w:pPr>
              <w:keepNext w:val="0"/>
              <w:keepLines w:val="0"/>
              <w:pageBreakBefore w:val="0"/>
              <w:widowControl/>
              <w:kinsoku/>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主观</w:t>
            </w:r>
          </w:p>
        </w:tc>
      </w:tr>
      <w:tr w14:paraId="3750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jc w:val="center"/>
        </w:trPr>
        <w:tc>
          <w:tcPr>
            <w:tcW w:w="465" w:type="dxa"/>
            <w:noWrap w:val="0"/>
            <w:vAlign w:val="center"/>
          </w:tcPr>
          <w:p w14:paraId="27314BF7">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w:t>
            </w:r>
          </w:p>
        </w:tc>
        <w:tc>
          <w:tcPr>
            <w:tcW w:w="1723" w:type="dxa"/>
            <w:noWrap w:val="0"/>
            <w:vAlign w:val="center"/>
          </w:tcPr>
          <w:p w14:paraId="6ADC85EF">
            <w:pPr>
              <w:keepNext w:val="0"/>
              <w:keepLines w:val="0"/>
              <w:pageBreakBefore w:val="0"/>
              <w:widowControl/>
              <w:kinsoku/>
              <w:overflowPunct/>
              <w:topLinePunct w:val="0"/>
              <w:autoSpaceDE/>
              <w:autoSpaceDN/>
              <w:bidi w:val="0"/>
              <w:adjustRightInd/>
              <w:snapToGrid/>
              <w:spacing w:line="500" w:lineRule="exact"/>
              <w:jc w:val="center"/>
              <w:textAlignment w:val="auto"/>
              <w:rPr>
                <w:rFonts w:hint="default" w:ascii="仿宋_GB2312" w:hAnsi="仿宋_GB2312" w:cs="仿宋_GB2312"/>
                <w:color w:val="auto"/>
                <w:sz w:val="22"/>
                <w:szCs w:val="22"/>
                <w:highlight w:val="none"/>
                <w:lang w:val="en-US" w:eastAsia="zh-CN"/>
              </w:rPr>
            </w:pPr>
            <w:r>
              <w:rPr>
                <w:rFonts w:hint="eastAsia" w:ascii="仿宋_GB2312" w:hAnsi="仿宋_GB2312" w:cs="仿宋_GB2312"/>
                <w:color w:val="auto"/>
                <w:sz w:val="22"/>
                <w:szCs w:val="22"/>
                <w:highlight w:val="none"/>
                <w:lang w:val="en-US" w:eastAsia="zh-CN"/>
              </w:rPr>
              <w:t>后续服务方案12%</w:t>
            </w:r>
          </w:p>
        </w:tc>
        <w:tc>
          <w:tcPr>
            <w:tcW w:w="836" w:type="dxa"/>
            <w:noWrap w:val="0"/>
            <w:vAlign w:val="center"/>
          </w:tcPr>
          <w:p w14:paraId="10F272C0">
            <w:pPr>
              <w:keepNext w:val="0"/>
              <w:keepLines w:val="0"/>
              <w:pageBreakBefore w:val="0"/>
              <w:widowControl/>
              <w:kinsoku/>
              <w:overflowPunct/>
              <w:topLinePunct w:val="0"/>
              <w:autoSpaceDE/>
              <w:autoSpaceDN/>
              <w:bidi w:val="0"/>
              <w:adjustRightInd/>
              <w:snapToGrid/>
              <w:spacing w:line="500" w:lineRule="exact"/>
              <w:jc w:val="center"/>
              <w:textAlignment w:val="auto"/>
              <w:rPr>
                <w:rFonts w:hint="default" w:ascii="仿宋_GB2312" w:hAnsi="仿宋_GB2312" w:cs="仿宋_GB2312"/>
                <w:color w:val="auto"/>
                <w:sz w:val="22"/>
                <w:szCs w:val="22"/>
                <w:highlight w:val="none"/>
                <w:lang w:val="en-US" w:eastAsia="zh-CN"/>
              </w:rPr>
            </w:pPr>
            <w:r>
              <w:rPr>
                <w:rFonts w:hint="eastAsia" w:ascii="仿宋_GB2312" w:hAnsi="仿宋_GB2312" w:cs="仿宋_GB2312"/>
                <w:color w:val="auto"/>
                <w:sz w:val="22"/>
                <w:szCs w:val="22"/>
                <w:highlight w:val="none"/>
                <w:lang w:val="en-US" w:eastAsia="zh-CN"/>
              </w:rPr>
              <w:t>12分</w:t>
            </w:r>
          </w:p>
        </w:tc>
        <w:tc>
          <w:tcPr>
            <w:tcW w:w="5400" w:type="dxa"/>
            <w:noWrap w:val="0"/>
            <w:vAlign w:val="center"/>
          </w:tcPr>
          <w:p w14:paraId="305000EA">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_GB2312" w:hAnsi="仿宋_GB2312" w:cs="仿宋_GB2312"/>
                <w:color w:val="auto"/>
                <w:sz w:val="21"/>
                <w:szCs w:val="21"/>
                <w:highlight w:val="none"/>
                <w:lang w:val="en-US" w:eastAsia="zh-CN"/>
              </w:rPr>
              <w:t>供应商根据本项目采购需求和技术服务要求提供的后续服务方案，细化量化指标包括：① 后续服务人员、联系方式、响应时间；②后续服务内容；③后续服务保障措施；④后续服务响应承诺。以上①-④项每项3分，共12分。以上内容完整且符合本项目实际要求的得12分，每缺少一项内容扣3分，每有一项内容缺陷（指项目名称、项目实施地点、引用的标准或规范错误或实施计划超期或承诺的响应时间与要求不符或内容不符合本项目采购需求和技术服务要求或仅有标题无实质性内容或分项内容描述不完整）扣1.5分。</w:t>
            </w:r>
          </w:p>
        </w:tc>
        <w:tc>
          <w:tcPr>
            <w:tcW w:w="1005" w:type="dxa"/>
            <w:noWrap w:val="0"/>
            <w:vAlign w:val="center"/>
          </w:tcPr>
          <w:p w14:paraId="794B1BD6">
            <w:pPr>
              <w:keepNext w:val="0"/>
              <w:keepLines w:val="0"/>
              <w:pageBreakBefore w:val="0"/>
              <w:widowControl/>
              <w:kinsoku/>
              <w:overflowPunct/>
              <w:topLinePunct w:val="0"/>
              <w:autoSpaceDE/>
              <w:autoSpaceDN/>
              <w:bidi w:val="0"/>
              <w:adjustRightInd/>
              <w:snapToGrid/>
              <w:spacing w:line="500" w:lineRule="exact"/>
              <w:jc w:val="center"/>
              <w:textAlignment w:val="auto"/>
              <w:rPr>
                <w:rFonts w:hint="default"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主观</w:t>
            </w:r>
          </w:p>
        </w:tc>
      </w:tr>
      <w:tr w14:paraId="6D8F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5" w:type="dxa"/>
            <w:noWrap w:val="0"/>
            <w:vAlign w:val="center"/>
          </w:tcPr>
          <w:p w14:paraId="60236731">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val="en-US" w:eastAsia="zh-CN"/>
              </w:rPr>
              <w:t>4</w:t>
            </w:r>
          </w:p>
        </w:tc>
        <w:tc>
          <w:tcPr>
            <w:tcW w:w="1723" w:type="dxa"/>
            <w:noWrap w:val="0"/>
            <w:vAlign w:val="center"/>
          </w:tcPr>
          <w:p w14:paraId="78842A68">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val="en-US" w:eastAsia="zh-CN"/>
              </w:rPr>
              <w:t>项目管理机构23</w:t>
            </w:r>
            <w:r>
              <w:rPr>
                <w:rFonts w:hint="eastAsia" w:ascii="仿宋_GB2312" w:hAnsi="仿宋_GB2312" w:eastAsia="仿宋_GB2312" w:cs="仿宋_GB2312"/>
                <w:color w:val="auto"/>
                <w:sz w:val="21"/>
                <w:szCs w:val="21"/>
                <w:highlight w:val="none"/>
              </w:rPr>
              <w:t>%</w:t>
            </w:r>
          </w:p>
        </w:tc>
        <w:tc>
          <w:tcPr>
            <w:tcW w:w="836" w:type="dxa"/>
            <w:noWrap w:val="0"/>
            <w:vAlign w:val="center"/>
          </w:tcPr>
          <w:p w14:paraId="70CBBC52">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val="en-US" w:eastAsia="zh-CN"/>
              </w:rPr>
              <w:t>23</w:t>
            </w:r>
            <w:r>
              <w:rPr>
                <w:rFonts w:hint="eastAsia" w:ascii="仿宋_GB2312" w:hAnsi="仿宋_GB2312" w:eastAsia="仿宋_GB2312" w:cs="仿宋_GB2312"/>
                <w:color w:val="auto"/>
                <w:sz w:val="21"/>
                <w:szCs w:val="21"/>
                <w:highlight w:val="none"/>
              </w:rPr>
              <w:t>分</w:t>
            </w:r>
          </w:p>
        </w:tc>
        <w:tc>
          <w:tcPr>
            <w:tcW w:w="5400" w:type="dxa"/>
            <w:noWrap w:val="0"/>
            <w:vAlign w:val="center"/>
          </w:tcPr>
          <w:p w14:paraId="455F1B10">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1、项目负责人：具有土建或安装专业一级造价工程师或全国注册造价工程师的得3分，具有工程或工程经济类中级职称加2分，具有工程或工程经济类高级及以上职称加3分；本项最多得6分。</w:t>
            </w:r>
          </w:p>
          <w:p w14:paraId="054B28EC">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2、项目技术负责人：具有土建或安装专业一级造价工程师或全国注册造价工程师的得3分，具有工程造价专业中级职称加2分，具有工程造价专业高级及以上职称加3分；本项最多得6分。</w:t>
            </w:r>
          </w:p>
          <w:p w14:paraId="1EF54A90">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3、土建专业负责人：具有土建专业一级造价工程师或全国注册造价工程师的得3分；本项最多得3分。</w:t>
            </w:r>
          </w:p>
          <w:p w14:paraId="7046FE8F">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4、安装专业负责人：具有安装专业一级造价工程师或全国注册造价工程师的得3分；本项最多得3分。</w:t>
            </w:r>
          </w:p>
          <w:p w14:paraId="12283B5F">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5、其他人员：每配备1名土建或安装专业的一级造价工程师或全国注册造价工程师得3分，每配备1名土建或安装专业的二级造价工程师得2分；本项最多得5分。</w:t>
            </w:r>
          </w:p>
          <w:p w14:paraId="6522CEDE">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注：1.以上人员不得重复计分。</w:t>
            </w:r>
          </w:p>
          <w:p w14:paraId="125C86FC">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2.提供以上人员身份证、相对应的证书复印件以及为本单位人员证明材料（提供2025年7月以来任意3个月社保证明复印件，退休人员提供退休证明和劳动合同复印件）。</w:t>
            </w:r>
          </w:p>
        </w:tc>
        <w:tc>
          <w:tcPr>
            <w:tcW w:w="1005" w:type="dxa"/>
            <w:noWrap w:val="0"/>
            <w:vAlign w:val="center"/>
          </w:tcPr>
          <w:p w14:paraId="7F8253A7">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val="en-US" w:eastAsia="zh-CN"/>
              </w:rPr>
              <w:t>客观</w:t>
            </w:r>
          </w:p>
        </w:tc>
      </w:tr>
      <w:tr w14:paraId="593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465" w:type="dxa"/>
            <w:noWrap w:val="0"/>
            <w:vAlign w:val="center"/>
          </w:tcPr>
          <w:p w14:paraId="46370576">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w:t>
            </w:r>
          </w:p>
        </w:tc>
        <w:tc>
          <w:tcPr>
            <w:tcW w:w="1723" w:type="dxa"/>
            <w:noWrap w:val="0"/>
            <w:vAlign w:val="center"/>
          </w:tcPr>
          <w:p w14:paraId="7DDCD313">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履约</w:t>
            </w:r>
            <w:r>
              <w:rPr>
                <w:rFonts w:hint="eastAsia" w:ascii="仿宋_GB2312" w:hAnsi="仿宋_GB2312" w:cs="仿宋_GB2312"/>
                <w:color w:val="auto"/>
                <w:sz w:val="21"/>
                <w:szCs w:val="21"/>
                <w:highlight w:val="none"/>
                <w:lang w:val="en-US" w:eastAsia="zh-CN"/>
              </w:rPr>
              <w:t>经验15</w:t>
            </w:r>
            <w:r>
              <w:rPr>
                <w:rFonts w:hint="eastAsia" w:ascii="仿宋_GB2312" w:hAnsi="仿宋_GB2312" w:eastAsia="仿宋_GB2312" w:cs="仿宋_GB2312"/>
                <w:color w:val="auto"/>
                <w:sz w:val="21"/>
                <w:szCs w:val="21"/>
                <w:highlight w:val="none"/>
              </w:rPr>
              <w:t>%</w:t>
            </w:r>
          </w:p>
        </w:tc>
        <w:tc>
          <w:tcPr>
            <w:tcW w:w="836" w:type="dxa"/>
            <w:noWrap w:val="0"/>
            <w:vAlign w:val="center"/>
          </w:tcPr>
          <w:p w14:paraId="360B82DE">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p>
        </w:tc>
        <w:tc>
          <w:tcPr>
            <w:tcW w:w="5400" w:type="dxa"/>
            <w:noWrap w:val="0"/>
            <w:vAlign w:val="center"/>
          </w:tcPr>
          <w:p w14:paraId="39314574">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default"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eastAsia="zh-CN"/>
              </w:rPr>
              <w:t>供应商202</w:t>
            </w:r>
            <w:r>
              <w:rPr>
                <w:rFonts w:hint="eastAsia" w:ascii="仿宋_GB2312" w:hAnsi="仿宋_GB2312" w:cs="仿宋_GB2312"/>
                <w:color w:val="auto"/>
                <w:sz w:val="21"/>
                <w:szCs w:val="21"/>
                <w:highlight w:val="none"/>
                <w:lang w:val="en-US" w:eastAsia="zh-CN"/>
              </w:rPr>
              <w:t>3</w:t>
            </w:r>
            <w:r>
              <w:rPr>
                <w:rFonts w:hint="eastAsia" w:ascii="仿宋_GB2312" w:hAnsi="仿宋_GB2312" w:cs="仿宋_GB2312"/>
                <w:color w:val="auto"/>
                <w:sz w:val="21"/>
                <w:szCs w:val="21"/>
                <w:highlight w:val="none"/>
                <w:lang w:eastAsia="zh-CN"/>
              </w:rPr>
              <w:t>年1月1日(含)以来承担过类似</w:t>
            </w:r>
            <w:r>
              <w:rPr>
                <w:rFonts w:hint="eastAsia" w:ascii="仿宋_GB2312" w:hAnsi="仿宋_GB2312" w:cs="仿宋_GB2312"/>
                <w:color w:val="auto"/>
                <w:sz w:val="21"/>
                <w:szCs w:val="21"/>
                <w:highlight w:val="none"/>
                <w:lang w:val="en-US" w:eastAsia="zh-CN"/>
              </w:rPr>
              <w:t>项目的，每提供1个类似项目业绩得5分，本项最高得15分。类似项目业绩是指：房屋建筑工程工程量清单及预算控制价的编制或审核或财政评审。</w:t>
            </w:r>
          </w:p>
          <w:p w14:paraId="0D86F03B">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cs="仿宋_GB2312"/>
                <w:color w:val="auto"/>
                <w:sz w:val="21"/>
                <w:szCs w:val="21"/>
                <w:highlight w:val="none"/>
                <w:lang w:eastAsia="zh-CN"/>
              </w:rPr>
            </w:pPr>
            <w:r>
              <w:rPr>
                <w:rFonts w:hint="eastAsia" w:ascii="仿宋_GB2312" w:hAnsi="仿宋_GB2312" w:cs="仿宋_GB2312"/>
                <w:color w:val="auto"/>
                <w:sz w:val="21"/>
                <w:szCs w:val="21"/>
                <w:highlight w:val="none"/>
                <w:lang w:val="en-US" w:eastAsia="zh-CN"/>
              </w:rPr>
              <w:t>注：1.</w:t>
            </w:r>
            <w:r>
              <w:rPr>
                <w:rFonts w:hint="eastAsia" w:ascii="仿宋_GB2312" w:hAnsi="仿宋_GB2312" w:cs="仿宋_GB2312"/>
                <w:color w:val="auto"/>
                <w:sz w:val="21"/>
                <w:szCs w:val="21"/>
                <w:highlight w:val="none"/>
                <w:lang w:eastAsia="zh-CN"/>
              </w:rPr>
              <w:t>提供中标(成交)通知书或合同扫描件。</w:t>
            </w:r>
          </w:p>
          <w:p w14:paraId="6735743B">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w:t>
            </w:r>
            <w:r>
              <w:rPr>
                <w:rFonts w:hint="eastAsia" w:ascii="仿宋_GB2312" w:hAnsi="仿宋_GB2312" w:cs="仿宋_GB2312"/>
                <w:color w:val="auto"/>
                <w:sz w:val="21"/>
                <w:szCs w:val="21"/>
                <w:highlight w:val="none"/>
                <w:lang w:eastAsia="zh-CN"/>
              </w:rPr>
              <w:t>时间以中标(成交)通知书或合同(</w:t>
            </w:r>
            <w:r>
              <w:rPr>
                <w:rFonts w:hint="eastAsia" w:ascii="仿宋_GB2312" w:hAnsi="仿宋_GB2312" w:cs="仿宋_GB2312"/>
                <w:color w:val="auto"/>
                <w:sz w:val="21"/>
                <w:szCs w:val="21"/>
                <w:highlight w:val="none"/>
                <w:lang w:val="en-US" w:eastAsia="zh-CN"/>
              </w:rPr>
              <w:t>协议书）签订时间为准。</w:t>
            </w:r>
          </w:p>
          <w:p w14:paraId="0B7BB07D">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val="en-US" w:eastAsia="zh-CN"/>
              </w:rPr>
              <w:t>3.本项目响应文件提交截止时间前新注册不足1年且无业绩的供应商本项得5分。</w:t>
            </w:r>
          </w:p>
        </w:tc>
        <w:tc>
          <w:tcPr>
            <w:tcW w:w="1005" w:type="dxa"/>
            <w:noWrap w:val="0"/>
            <w:vAlign w:val="center"/>
          </w:tcPr>
          <w:p w14:paraId="6072C1F2">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val="en-US" w:eastAsia="zh-CN"/>
              </w:rPr>
              <w:t>客观</w:t>
            </w:r>
          </w:p>
        </w:tc>
      </w:tr>
    </w:tbl>
    <w:p w14:paraId="2E763FBF">
      <w:pPr>
        <w:rPr>
          <w:rFonts w:hint="eastAsia"/>
          <w:lang w:eastAsia="zh-CN"/>
        </w:rPr>
      </w:pPr>
    </w:p>
    <w:p w14:paraId="5901D0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703020204020201"/>
    <w:charset w:val="86"/>
    <w:family w:val="auto"/>
    <w:pitch w:val="default"/>
    <w:sig w:usb0="80000287" w:usb1="0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C150B"/>
    <w:multiLevelType w:val="singleLevel"/>
    <w:tmpl w:val="D33C150B"/>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4569A"/>
    <w:rsid w:val="4E34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ind w:firstLine="0" w:firstLineChars="0"/>
      <w:jc w:val="center"/>
      <w:outlineLvl w:val="0"/>
    </w:pPr>
    <w:rPr>
      <w:rFonts w:ascii="Calibri" w:hAnsi="Calibri" w:eastAsia="黑体"/>
      <w:b/>
      <w:kern w:val="44"/>
      <w:szCs w:val="2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
    <w:name w:val="Default"/>
    <w:qFormat/>
    <w:uiPriority w:val="0"/>
    <w:pPr>
      <w:widowControl w:val="0"/>
      <w:autoSpaceDE w:val="0"/>
      <w:autoSpaceDN w:val="0"/>
      <w:adjustRightInd w:val="0"/>
    </w:pPr>
    <w:rPr>
      <w:rFonts w:ascii="Arial" w:hAnsi="Arial" w:eastAsia="微软雅黑"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2026-03-05T01:00:00Z</dcterms:created>
  <dc:creator>发了疯 的笑</dc:creator>
  <cp:lastModifiedBy>发了疯 的笑</cp:lastModifiedBy>
  <cp:lastPrinted>2026-03-05T01:04:10Z</cp:lastPrinted>
  <dcterms:modified xsi:type="dcterms:W3CDTF">2026-03-05T01:04:18Z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53D90E7CF23F4DF0B04758056FDD27E0_11</vt:lpwstr>
  </property>
  <property fmtid="{D5CDD505-2E9C-101B-9397-08002B2CF9AE}" pid="4" name="KSOTemplateDocerSaveRecord">
    <vt:lpwstr>eyJoZGlkIjoiMDljMzYxNjAzNjhiZGM4YzgyODA0ZTA2ZjIxNzdjMWYiLCJ1c2VySWQiOiI4MDgzMjk4MDYifQ==</vt:lpwstr>
  </property>
</Properties>
</file>