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A45B">
      <w:pPr>
        <w:keepNext w:val="0"/>
        <w:keepLines w:val="0"/>
        <w:pageBreakBefore w:val="0"/>
        <w:widowControl/>
        <w:kinsoku/>
        <w:wordWrap/>
        <w:overflowPunct/>
        <w:topLinePunct w:val="0"/>
        <w:autoSpaceDE/>
        <w:autoSpaceDN/>
        <w:bidi w:val="0"/>
        <w:adjustRightInd w:val="0"/>
        <w:snapToGrid w:val="0"/>
        <w:spacing w:before="361" w:beforeLines="100" w:after="541" w:afterLines="150" w:line="220" w:lineRule="atLeas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36"/>
          <w:szCs w:val="36"/>
          <w:lang w:val="en-US" w:eastAsia="zh-CN"/>
        </w:rPr>
        <w:t>医疗责任险保险方案</w:t>
      </w:r>
    </w:p>
    <w:p w14:paraId="6067C908">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保险范围：</w:t>
      </w:r>
      <w:r>
        <w:rPr>
          <w:rFonts w:hint="eastAsia" w:asciiTheme="minorEastAsia" w:hAnsiTheme="minorEastAsia" w:eastAsiaTheme="minorEastAsia" w:cstheme="minorEastAsia"/>
          <w:color w:val="000000"/>
          <w:sz w:val="28"/>
          <w:szCs w:val="28"/>
        </w:rPr>
        <w:t>保险事故发生在保险单列明的保险期间或追溯期及承保区域范围内，在保险单中载明的被保险人的医务人员（以下简称投保医务人员）在诊疗活动中，因执业过</w:t>
      </w:r>
      <w:r>
        <w:rPr>
          <w:rFonts w:hint="eastAsia" w:asciiTheme="minorEastAsia" w:hAnsiTheme="minorEastAsia" w:eastAsiaTheme="minorEastAsia" w:cstheme="minorEastAsia"/>
          <w:color w:val="000000"/>
          <w:sz w:val="28"/>
          <w:szCs w:val="28"/>
          <w:lang w:eastAsia="zh-CN"/>
        </w:rPr>
        <w:t>错</w:t>
      </w:r>
      <w:r>
        <w:rPr>
          <w:rFonts w:hint="eastAsia" w:asciiTheme="minorEastAsia" w:hAnsiTheme="minorEastAsia" w:eastAsiaTheme="minorEastAsia" w:cstheme="minorEastAsia"/>
          <w:color w:val="000000"/>
          <w:sz w:val="28"/>
          <w:szCs w:val="28"/>
        </w:rPr>
        <w:t>造成患者人身损害，由患者或其近亲属向被保险人提出索赔申请，依法应由被保险人承担民事赔偿责任时，保险人按照保险合同的约定负责赔偿</w:t>
      </w:r>
      <w:r>
        <w:rPr>
          <w:rFonts w:hint="eastAsia" w:asciiTheme="minorEastAsia" w:hAnsiTheme="minorEastAsia" w:eastAsiaTheme="minorEastAsia" w:cstheme="minorEastAsia"/>
          <w:color w:val="000000"/>
          <w:sz w:val="28"/>
          <w:szCs w:val="28"/>
          <w:lang w:eastAsia="zh-CN"/>
        </w:rPr>
        <w:t>。</w:t>
      </w:r>
    </w:p>
    <w:p w14:paraId="1BD5631D">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险事故发生后，被保险人因保险事故而被提起仲裁或诉讼的，对应由被保险人支付的鉴定费用、仲裁或者诉讼费用以及事先经保险人书面同意支付的其他必要、合理的费用，保险人按照保险合同的约定也负责赔偿。</w:t>
      </w:r>
    </w:p>
    <w:p w14:paraId="5EC87571">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投保险种：医疗责任保险、附加精神损失责任险、附加医疗机构场所责任险（非必须）、附加外聘专家责任险，附加险不额外收费。</w:t>
      </w:r>
    </w:p>
    <w:p w14:paraId="3F4F4EE5">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医疗费用赔偿标准按照当地（地市级以上）劳动和社保部门公布的城镇职工基本医疗保险规定执行</w:t>
      </w:r>
    </w:p>
    <w:p w14:paraId="298C4B7A">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医疗纠纷发生后，可由被保险人、患者、保险人共同协商解决纠纷理赔事项，保险人保留参与确认权，可根据涉赔案件实际情况确定到场参与或直接授权医院单独处理协商事宜。协商确认的赔偿数额，保险人应予以理赔。通过行政调解、医调委调解或医疗事故鉴定、司法鉴定，进行调解,以上协商和调解如各方无法达成一致，通过法律诉讼方式处理。</w:t>
      </w:r>
    </w:p>
    <w:p w14:paraId="4121D509">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关于医疗纠纷赔付的确认方式：</w:t>
      </w:r>
    </w:p>
    <w:p w14:paraId="1C4BBEDA">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①人民法院判决的（在医疗纠纷诉讼案件中，如法院允许，保险人同意采购人追加保险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作为被告或承担责任的第三人参与诉讼，不追加保险人的，保险人依据判决并结合保单约定的责任范围进行理赔）；</w:t>
      </w:r>
    </w:p>
    <w:p w14:paraId="168D673C">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②经卫生行政部门行政调解（保险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参与、确认）的；</w:t>
      </w:r>
    </w:p>
    <w:p w14:paraId="729B6776">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③经第三方调解（保险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参与、确认），达成统一意见的；</w:t>
      </w:r>
    </w:p>
    <w:p w14:paraId="3BF4CD2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④经医患双方协商（保险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参与、确认），达成统一意见的</w:t>
      </w:r>
      <w:r>
        <w:rPr>
          <w:rFonts w:hint="eastAsia" w:asciiTheme="minorEastAsia" w:hAnsiTheme="minorEastAsia" w:eastAsiaTheme="minorEastAsia" w:cstheme="minorEastAsia"/>
          <w:color w:val="auto"/>
          <w:sz w:val="28"/>
          <w:szCs w:val="28"/>
          <w:lang w:val="en-US" w:eastAsia="zh-CN"/>
        </w:rPr>
        <w:t>。</w:t>
      </w:r>
    </w:p>
    <w:p w14:paraId="5639A20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上述需保险人参与的情形，保险人</w:t>
      </w:r>
      <w:r>
        <w:rPr>
          <w:rFonts w:hint="default" w:asciiTheme="minorEastAsia" w:hAnsiTheme="minorEastAsia" w:eastAsiaTheme="minorEastAsia" w:cstheme="minorEastAsia"/>
          <w:color w:val="auto"/>
          <w:sz w:val="28"/>
          <w:szCs w:val="28"/>
          <w:lang w:val="en-US" w:eastAsia="zh-CN"/>
        </w:rPr>
        <w:t>经被保险人提前通知，保险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未派人参与、确认的，保险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不得以此为由拒绝赔付。</w:t>
      </w:r>
      <w:r>
        <w:rPr>
          <w:rFonts w:hint="eastAsia" w:asciiTheme="minorEastAsia" w:hAnsiTheme="minorEastAsia" w:eastAsiaTheme="minorEastAsia" w:cstheme="minorEastAsia"/>
          <w:color w:val="auto"/>
          <w:sz w:val="28"/>
          <w:szCs w:val="28"/>
          <w:lang w:val="en-US" w:eastAsia="zh-CN"/>
        </w:rPr>
        <w:t>保险人</w:t>
      </w:r>
      <w:r>
        <w:rPr>
          <w:rFonts w:hint="default" w:asciiTheme="minorEastAsia" w:hAnsiTheme="minorEastAsia" w:eastAsiaTheme="minorEastAsia" w:cstheme="minorEastAsia"/>
          <w:color w:val="auto"/>
          <w:sz w:val="28"/>
          <w:szCs w:val="28"/>
          <w:lang w:val="en-US" w:eastAsia="zh-CN"/>
        </w:rPr>
        <w:t>理赔人</w:t>
      </w:r>
      <w:r>
        <w:rPr>
          <w:rFonts w:hint="eastAsia" w:asciiTheme="minorEastAsia" w:hAnsiTheme="minorEastAsia" w:eastAsiaTheme="minorEastAsia" w:cstheme="minorEastAsia"/>
          <w:color w:val="auto"/>
          <w:sz w:val="28"/>
          <w:szCs w:val="28"/>
          <w:lang w:val="en-US" w:eastAsia="zh-CN"/>
        </w:rPr>
        <w:t>员</w:t>
      </w:r>
      <w:r>
        <w:rPr>
          <w:rFonts w:hint="default" w:asciiTheme="minorEastAsia" w:hAnsiTheme="minorEastAsia" w:eastAsiaTheme="minorEastAsia" w:cstheme="minorEastAsia"/>
          <w:color w:val="auto"/>
          <w:sz w:val="28"/>
          <w:szCs w:val="28"/>
          <w:lang w:val="en-US" w:eastAsia="zh-CN"/>
        </w:rPr>
        <w:t>在接到案件派工后第一时间联系被保险人了解案件情况，如遇紧急情况，由保险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服务人员负责案件的沟通与协调，保证案件理赔过程及时顺畅。</w:t>
      </w:r>
    </w:p>
    <w:p w14:paraId="1C44A38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textAlignment w:val="auto"/>
        <w:rPr>
          <w:rFonts w:hint="default" w:ascii="宋体" w:hAnsi="宋体" w:eastAsia="宋体" w:cs="宋体"/>
          <w:bCs/>
          <w:sz w:val="28"/>
          <w:szCs w:val="28"/>
          <w:lang w:val="en-US"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8B839"/>
    <w:multiLevelType w:val="singleLevel"/>
    <w:tmpl w:val="6618B8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CA08E3"/>
    <w:rsid w:val="00D31D50"/>
    <w:rsid w:val="03B8732D"/>
    <w:rsid w:val="0A162A52"/>
    <w:rsid w:val="0CBD414B"/>
    <w:rsid w:val="11822018"/>
    <w:rsid w:val="4719036A"/>
    <w:rsid w:val="4FDC60D8"/>
    <w:rsid w:val="565E1DD2"/>
    <w:rsid w:val="60503F6D"/>
    <w:rsid w:val="62B7700B"/>
    <w:rsid w:val="74FF7B49"/>
    <w:rsid w:val="7C1C3C10"/>
    <w:rsid w:val="7C4F174B"/>
    <w:rsid w:val="7E4509AA"/>
    <w:rsid w:val="7F06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1425</Words>
  <Characters>1446</Characters>
  <Lines>1</Lines>
  <Paragraphs>1</Paragraphs>
  <TotalTime>39</TotalTime>
  <ScaleCrop>false</ScaleCrop>
  <LinksUpToDate>false</LinksUpToDate>
  <CharactersWithSpaces>1447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王俊</cp:lastModifiedBy>
  <cp:lastPrinted>2023-07-12T06:47:00Z</cp:lastPrinted>
  <dcterms:modified xsi:type="dcterms:W3CDTF">2026-03-09T00:45:30Z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DE51B9D637CD4AF7AF2ECA81256CC643_13</vt:lpwstr>
  </property>
  <property fmtid="{D5CDD505-2E9C-101B-9397-08002B2CF9AE}" pid="4" name="KSOTemplateDocerSaveRecord">
    <vt:lpwstr>eyJoZGlkIjoiZDE2N2UyMGJhNGU0Zjc3YWRkNDk3NGI2YzhiYjc3N2IiLCJ1c2VySWQiOiIxNzU2MTA3MjAzIn0=</vt:lpwstr>
  </property>
</Properties>
</file>