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03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val="0"/>
          <w:bCs w:val="0"/>
          <w:sz w:val="32"/>
          <w:shd w:val="clear" w:color="auto" w:fill="auto"/>
          <w:lang w:val="en-US" w:eastAsia="zh-CN"/>
        </w:rPr>
      </w:pPr>
      <w:r>
        <w:rPr>
          <w:rFonts w:hint="eastAsia" w:ascii="方正小标宋_GBK" w:hAnsi="方正小标宋_GBK" w:eastAsia="方正小标宋_GBK" w:cs="方正小标宋_GBK"/>
          <w:b w:val="0"/>
          <w:bCs w:val="0"/>
          <w:sz w:val="32"/>
          <w:shd w:val="clear" w:color="auto" w:fill="auto"/>
          <w:lang w:val="en-US" w:eastAsia="zh-CN"/>
        </w:rPr>
        <w:t>包1 共享轮椅</w:t>
      </w:r>
    </w:p>
    <w:p w14:paraId="44B596D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hd w:val="clear" w:color="auto" w:fill="auto"/>
          <w:lang w:val="en-US" w:eastAsia="zh-CN"/>
        </w:rPr>
      </w:pPr>
      <w:r>
        <w:rPr>
          <w:rFonts w:hint="eastAsia" w:ascii="Times New Roman" w:hAnsi="Times New Roman" w:eastAsia="方正黑体_GBK" w:cs="方正黑体_GBK"/>
          <w:sz w:val="32"/>
          <w:shd w:val="clear" w:color="auto" w:fill="auto"/>
          <w:lang w:val="en-US" w:eastAsia="zh-CN"/>
        </w:rPr>
        <w:t>报价内容：</w:t>
      </w:r>
    </w:p>
    <w:p w14:paraId="139153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共享轮椅租赁价格：所提供的轮椅（归位桩）需实现无人值守自助服务，收费标准</w:t>
      </w:r>
      <w:r>
        <w:rPr>
          <w:rFonts w:hint="eastAsia" w:ascii="Times New Roman" w:hAnsi="Times New Roman" w:eastAsia="方正仿宋_GBK" w:cs="方正仿宋_GBK"/>
          <w:sz w:val="32"/>
          <w:highlight w:val="none"/>
          <w:shd w:val="clear" w:color="auto" w:fill="auto"/>
          <w:lang w:val="en-US" w:eastAsia="zh-CN"/>
        </w:rPr>
        <w:t>：免费时长</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分钟</w:t>
      </w:r>
      <w:r>
        <w:rPr>
          <w:rFonts w:hint="eastAsia" w:eastAsia="方正仿宋_GBK" w:cs="方正仿宋_GBK"/>
          <w:sz w:val="32"/>
          <w:highlight w:val="none"/>
          <w:shd w:val="clear" w:color="auto" w:fill="auto"/>
          <w:lang w:val="en-US" w:eastAsia="zh-CN"/>
        </w:rPr>
        <w:t>(不低于30分钟）</w:t>
      </w:r>
      <w:r>
        <w:rPr>
          <w:rFonts w:hint="eastAsia" w:ascii="Times New Roman" w:hAnsi="Times New Roman" w:eastAsia="方正仿宋_GBK" w:cs="方正仿宋_GBK"/>
          <w:sz w:val="32"/>
          <w:highlight w:val="none"/>
          <w:shd w:val="clear" w:color="auto" w:fill="auto"/>
          <w:lang w:val="en-US" w:eastAsia="zh-CN"/>
        </w:rPr>
        <w:t>，免费后租赁价格</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元/小时</w:t>
      </w:r>
      <w:r>
        <w:rPr>
          <w:rFonts w:hint="eastAsia" w:eastAsia="方正仿宋_GBK" w:cs="方正仿宋_GBK"/>
          <w:sz w:val="32"/>
          <w:highlight w:val="none"/>
          <w:shd w:val="clear" w:color="auto" w:fill="auto"/>
          <w:lang w:val="en-US" w:eastAsia="zh-CN"/>
        </w:rPr>
        <w:t>（不高于4元/小时）</w:t>
      </w:r>
      <w:r>
        <w:rPr>
          <w:rFonts w:hint="eastAsia" w:ascii="Times New Roman" w:hAnsi="Times New Roman" w:eastAsia="方正仿宋_GBK" w:cs="方正仿宋_GBK"/>
          <w:sz w:val="32"/>
          <w:highlight w:val="none"/>
          <w:shd w:val="clear" w:color="auto" w:fill="auto"/>
          <w:lang w:val="en-US" w:eastAsia="zh-CN"/>
        </w:rPr>
        <w:t>，24小时封顶收费</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w:t>
      </w:r>
      <w:r>
        <w:rPr>
          <w:rFonts w:hint="eastAsia" w:eastAsia="方正仿宋_GBK" w:cs="方正仿宋_GBK"/>
          <w:sz w:val="32"/>
          <w:highlight w:val="none"/>
          <w:shd w:val="clear" w:color="auto" w:fill="auto"/>
          <w:lang w:val="en-US" w:eastAsia="zh-CN"/>
        </w:rPr>
        <w:t>（不高于40元）</w:t>
      </w:r>
      <w:r>
        <w:rPr>
          <w:rFonts w:hint="eastAsia" w:ascii="Times New Roman" w:hAnsi="Times New Roman" w:eastAsia="方正仿宋_GBK" w:cs="方正仿宋_GBK"/>
          <w:sz w:val="32"/>
          <w:highlight w:val="none"/>
          <w:shd w:val="clear" w:color="auto" w:fill="auto"/>
          <w:lang w:val="en-US" w:eastAsia="zh-CN"/>
        </w:rPr>
        <w:t>，押金</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w:t>
      </w:r>
      <w:r>
        <w:rPr>
          <w:rFonts w:hint="eastAsia" w:eastAsia="方正仿宋_GBK" w:cs="方正仿宋_GBK"/>
          <w:sz w:val="32"/>
          <w:highlight w:val="none"/>
          <w:shd w:val="clear" w:color="auto" w:fill="auto"/>
          <w:lang w:val="en-US" w:eastAsia="zh-CN"/>
        </w:rPr>
        <w:t>（不高于199元</w:t>
      </w:r>
      <w:bookmarkStart w:id="0" w:name="_GoBack"/>
      <w:bookmarkEnd w:id="0"/>
      <w:r>
        <w:rPr>
          <w:rFonts w:hint="eastAsia" w:eastAsia="方正仿宋_GBK" w:cs="方正仿宋_GBK"/>
          <w:sz w:val="32"/>
          <w:highlight w:val="none"/>
          <w:shd w:val="clear" w:color="auto" w:fill="auto"/>
          <w:lang w:val="en-US" w:eastAsia="zh-CN"/>
        </w:rPr>
        <w:t>）</w:t>
      </w:r>
      <w:r>
        <w:rPr>
          <w:rFonts w:hint="eastAsia" w:ascii="Times New Roman" w:hAnsi="Times New Roman" w:eastAsia="方正仿宋_GBK" w:cs="方正仿宋_GBK"/>
          <w:sz w:val="32"/>
          <w:highlight w:val="none"/>
          <w:shd w:val="clear" w:color="auto" w:fill="auto"/>
          <w:lang w:val="en-US" w:eastAsia="zh-CN"/>
        </w:rPr>
        <w:t xml:space="preserve">或微信、支付宝信用免押租借。 </w:t>
      </w:r>
    </w:p>
    <w:p w14:paraId="75AB6EC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highlight w:val="none"/>
          <w:shd w:val="clear" w:color="auto" w:fill="auto"/>
          <w:lang w:val="en-US" w:eastAsia="zh-CN"/>
        </w:rPr>
        <w:t>场地管理费</w:t>
      </w:r>
      <w:r>
        <w:rPr>
          <w:rFonts w:hint="eastAsia" w:eastAsia="方正仿宋_GBK" w:cs="方正仿宋_GBK"/>
          <w:sz w:val="32"/>
          <w:highlight w:val="none"/>
          <w:shd w:val="clear" w:color="auto" w:fill="auto"/>
          <w:lang w:val="en-US" w:eastAsia="zh-CN"/>
        </w:rPr>
        <w:t>控制价</w:t>
      </w:r>
      <w:r>
        <w:rPr>
          <w:rFonts w:hint="eastAsia" w:ascii="Times New Roman" w:hAnsi="Times New Roman" w:eastAsia="方正仿宋_GBK" w:cs="方正仿宋_GBK"/>
          <w:sz w:val="32"/>
          <w:highlight w:val="none"/>
          <w:shd w:val="clear" w:color="auto" w:fill="auto"/>
        </w:rPr>
        <w:t>（含场地租赁费及电费等，即包干价）</w:t>
      </w:r>
      <w:r>
        <w:rPr>
          <w:rFonts w:hint="eastAsia" w:ascii="Times New Roman" w:hAnsi="Times New Roman" w:eastAsia="方正仿宋_GBK" w:cs="方正仿宋_GBK"/>
          <w:sz w:val="32"/>
          <w:highlight w:val="none"/>
          <w:shd w:val="clear" w:color="auto" w:fill="auto"/>
          <w:lang w:val="en-US" w:eastAsia="zh-CN"/>
        </w:rPr>
        <w:t>：</w:t>
      </w:r>
      <w:r>
        <w:rPr>
          <w:rFonts w:hint="eastAsia" w:eastAsia="方正仿宋_GBK" w:cs="方正仿宋_GBK"/>
          <w:sz w:val="32"/>
          <w:highlight w:val="none"/>
          <w:shd w:val="clear" w:color="auto" w:fill="auto"/>
          <w:lang w:val="en-US" w:eastAsia="zh-CN"/>
        </w:rPr>
        <w:t>不低于</w:t>
      </w:r>
      <w:r>
        <w:rPr>
          <w:rFonts w:hint="eastAsia"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u w:val="single"/>
          <w:shd w:val="clear" w:color="auto" w:fill="auto"/>
          <w:lang w:val="en-US" w:eastAsia="zh-CN"/>
        </w:rPr>
        <w:t xml:space="preserve"> </w:t>
      </w:r>
      <w:r>
        <w:rPr>
          <w:rFonts w:hint="eastAsia" w:ascii="Times New Roman" w:hAnsi="Times New Roman" w:eastAsia="方正仿宋_GBK" w:cs="方正仿宋_GBK"/>
          <w:sz w:val="32"/>
          <w:highlight w:val="none"/>
          <w:shd w:val="clear" w:color="auto" w:fill="auto"/>
          <w:lang w:val="en-US" w:eastAsia="zh-CN"/>
        </w:rPr>
        <w:t>元/把/年</w:t>
      </w:r>
      <w:r>
        <w:rPr>
          <w:rFonts w:hint="eastAsia" w:eastAsia="方正仿宋_GBK" w:cs="方正仿宋_GBK"/>
          <w:sz w:val="32"/>
          <w:highlight w:val="none"/>
          <w:shd w:val="clear" w:color="auto" w:fill="auto"/>
          <w:lang w:val="en-US" w:eastAsia="zh-CN"/>
        </w:rPr>
        <w:t>（不低于600元/把/年）</w:t>
      </w:r>
      <w:r>
        <w:rPr>
          <w:rFonts w:hint="eastAsia" w:ascii="Times New Roman" w:hAnsi="Times New Roman" w:eastAsia="方正仿宋_GBK" w:cs="方正仿宋_GBK"/>
          <w:sz w:val="32"/>
          <w:highlight w:val="none"/>
          <w:shd w:val="clear" w:color="auto" w:fill="auto"/>
          <w:lang w:val="en-US" w:eastAsia="zh-CN"/>
        </w:rPr>
        <w:t>。</w:t>
      </w:r>
    </w:p>
    <w:p w14:paraId="61F8FE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方正仿宋_GBK"/>
          <w:sz w:val="32"/>
          <w:highlight w:val="none"/>
          <w:shd w:val="clear" w:color="auto" w:fill="auto"/>
          <w:lang w:val="en-US" w:eastAsia="zh-CN"/>
        </w:rPr>
      </w:pPr>
      <w:r>
        <w:rPr>
          <w:rFonts w:hint="eastAsia" w:ascii="Times New Roman" w:hAnsi="Times New Roman" w:eastAsia="方正仿宋_GBK" w:cs="方正仿宋_GBK"/>
          <w:sz w:val="32"/>
          <w:highlight w:val="none"/>
          <w:shd w:val="clear" w:color="auto" w:fill="auto"/>
          <w:lang w:val="en-US" w:eastAsia="zh-CN"/>
        </w:rPr>
        <w:t>提供共享轮椅的数量：</w:t>
      </w:r>
      <w:r>
        <w:rPr>
          <w:rFonts w:hint="eastAsia" w:ascii="Times New Roman" w:hAnsi="Times New Roman" w:eastAsia="方正仿宋_GBK" w:cs="方正仿宋_GBK"/>
          <w:sz w:val="32"/>
          <w:highlight w:val="none"/>
          <w:u w:val="single"/>
          <w:shd w:val="clear" w:color="auto" w:fill="auto"/>
          <w:lang w:val="en-US" w:eastAsia="zh-CN"/>
        </w:rPr>
        <w:t xml:space="preserve">     把</w:t>
      </w:r>
      <w:r>
        <w:rPr>
          <w:rFonts w:hint="eastAsia" w:ascii="Times New Roman" w:hAnsi="Times New Roman" w:eastAsia="方正仿宋_GBK" w:cs="方正仿宋_GBK"/>
          <w:sz w:val="32"/>
          <w:highlight w:val="none"/>
          <w:u w:val="none"/>
          <w:shd w:val="clear" w:color="auto" w:fill="auto"/>
          <w:lang w:val="en-US" w:eastAsia="zh-CN"/>
        </w:rPr>
        <w:t>（备注：不低于17把）</w:t>
      </w:r>
      <w:r>
        <w:rPr>
          <w:rFonts w:hint="eastAsia" w:ascii="Times New Roman" w:hAnsi="Times New Roman" w:eastAsia="方正仿宋_GBK" w:cs="方正仿宋_GBK"/>
          <w:sz w:val="32"/>
          <w:highlight w:val="none"/>
          <w:shd w:val="clear" w:color="auto" w:fill="auto"/>
          <w:lang w:val="en-US" w:eastAsia="zh-CN"/>
        </w:rPr>
        <w:t>。</w:t>
      </w:r>
    </w:p>
    <w:p w14:paraId="4ADA5C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hd w:val="clear" w:color="auto" w:fill="auto"/>
        </w:rPr>
      </w:pPr>
      <w:r>
        <w:rPr>
          <w:rFonts w:hint="eastAsia" w:ascii="Times New Roman" w:hAnsi="Times New Roman" w:eastAsia="方正黑体_GBK" w:cs="方正黑体_GBK"/>
          <w:sz w:val="32"/>
          <w:shd w:val="clear" w:color="auto" w:fill="auto"/>
        </w:rPr>
        <w:t>二、服务要求：</w:t>
      </w:r>
    </w:p>
    <w:p w14:paraId="2883ED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1.服务期限：3年。</w:t>
      </w:r>
    </w:p>
    <w:p w14:paraId="2869C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rPr>
      </w:pPr>
      <w:r>
        <w:rPr>
          <w:rFonts w:hint="eastAsia" w:ascii="Times New Roman" w:hAnsi="Times New Roman" w:eastAsia="方正仿宋_GBK" w:cs="方正仿宋_GBK"/>
          <w:sz w:val="32"/>
          <w:shd w:val="clear" w:color="auto" w:fill="auto"/>
          <w:lang w:val="en-US" w:eastAsia="zh-CN"/>
        </w:rPr>
        <w:t>2.服务地点：</w:t>
      </w:r>
      <w:r>
        <w:rPr>
          <w:rFonts w:hint="eastAsia" w:ascii="Times New Roman" w:hAnsi="Times New Roman" w:eastAsia="方正仿宋_GBK" w:cs="方正仿宋_GBK"/>
          <w:sz w:val="32"/>
          <w:shd w:val="clear" w:color="auto" w:fill="auto"/>
        </w:rPr>
        <w:t>医院指定地点。</w:t>
      </w:r>
    </w:p>
    <w:p w14:paraId="37EBC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3.设备便捷要求：</w:t>
      </w:r>
    </w:p>
    <w:p w14:paraId="7FF4417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租借方式：无需安装APP，支持支付宝或微信扫码租借；患者扫码后阅读安全须知/使用注意事项点击确定后进行下一步操作。</w:t>
      </w:r>
    </w:p>
    <w:p w14:paraId="2FD12D9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信用免押：支持微信或支付宝信用免押扫码租借，极速退还押金。</w:t>
      </w:r>
    </w:p>
    <w:p w14:paraId="31C59DE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图文并茂地张贴借用步骤、还车步骤、使用注意事项、收费规则、使用轮椅租借过程遇到问题的联系人。</w:t>
      </w:r>
    </w:p>
    <w:p w14:paraId="00A009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4.设备参数要求：</w:t>
      </w:r>
    </w:p>
    <w:p w14:paraId="2B35295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前后双刹，配备安全带。</w:t>
      </w:r>
    </w:p>
    <w:p w14:paraId="343A4E5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360°万向前轮，防滑踏板，轮胎要求实心胎。</w:t>
      </w:r>
    </w:p>
    <w:p w14:paraId="4F7C2BA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具有保险公司合法有效产品保单，保障用户的使用安全。</w:t>
      </w:r>
    </w:p>
    <w:p w14:paraId="03481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5.特殊资质要求：</w:t>
      </w:r>
    </w:p>
    <w:p w14:paraId="105DB3D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供应商符合《医疗器械经营监督管理办法》要求；</w:t>
      </w:r>
    </w:p>
    <w:p w14:paraId="4103CE5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所投医疗器械产品符合《医疗器械注册与备案管理办法》及《医疗器械监督管理条例》要求；</w:t>
      </w:r>
    </w:p>
    <w:p w14:paraId="2635815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微软雅黑" w:cs="微软雅黑"/>
          <w:sz w:val="32"/>
          <w:shd w:val="clear" w:color="auto" w:fill="auto"/>
          <w:lang w:val="en-US" w:eastAsia="zh-CN"/>
        </w:rPr>
        <w:t>▲</w:t>
      </w:r>
      <w:r>
        <w:rPr>
          <w:rFonts w:hint="eastAsia" w:ascii="Times New Roman" w:hAnsi="Times New Roman" w:eastAsia="方正仿宋_GBK" w:cs="方正仿宋_GBK"/>
          <w:sz w:val="32"/>
          <w:shd w:val="clear" w:color="auto" w:fill="auto"/>
          <w:lang w:val="en-US" w:eastAsia="zh-CN"/>
        </w:rPr>
        <w:t>提供的共享轮椅符合《GB/Z 13800—2021 手动轮椅车》国家标准。</w:t>
      </w:r>
    </w:p>
    <w:p w14:paraId="484CA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6.安装要求：</w:t>
      </w:r>
    </w:p>
    <w:p w14:paraId="391B301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在医院指定点位安装，符合消防安全规范，不能超过点位范围。</w:t>
      </w:r>
    </w:p>
    <w:p w14:paraId="5573F31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未经医院同意，不得随意调整轮椅点位；若后期医院对某点位有特殊用途，供应商应无条件服务安排。</w:t>
      </w:r>
    </w:p>
    <w:p w14:paraId="7823FFE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未经医院批准，共享轮椅以及归位桩上不得投放供应商经营广告或进行其他项目宣传。</w:t>
      </w:r>
    </w:p>
    <w:p w14:paraId="45704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7.运行维护服务要求:</w:t>
      </w:r>
    </w:p>
    <w:p w14:paraId="2B1BD1A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服务时间：提供全年365天24小时服务。</w:t>
      </w:r>
    </w:p>
    <w:p w14:paraId="2CC9956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按合同定期到货安装，配备后勤保障人员，所有设备故障响应时间不超过2小时。</w:t>
      </w:r>
    </w:p>
    <w:p w14:paraId="455B302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供应商所提供的自助设备服务国家相关质量标准要求；供应商应定期检查并确保安全、正常运行，并提供相关的证明材料备查。</w:t>
      </w:r>
    </w:p>
    <w:p w14:paraId="7276557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供应商投放的设备不得做无关广告宣传。</w:t>
      </w:r>
    </w:p>
    <w:p w14:paraId="22296D9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因设备故障、设备质量问题等引起的投诉纠纷或赔偿由中标方全权负责，如投放的商品为假冒伪劣产品，院方有权终止合作并要求中标方承担因此给院方造成的损失。</w:t>
      </w:r>
    </w:p>
    <w:p w14:paraId="1B726C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共享轮椅的租赁要求：在合同期范围内，供应商不得随意变更收费标准。</w:t>
      </w:r>
    </w:p>
    <w:p w14:paraId="73FD7E4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textAlignment w:val="auto"/>
        <w:rPr>
          <w:rFonts w:hint="default"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供应商应当妥善管理项目设备，如因丢失、损坏造成的一切损失由供应商自行承担。</w:t>
      </w:r>
    </w:p>
    <w:p w14:paraId="1F621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8.其他要求：</w:t>
      </w:r>
    </w:p>
    <w:p w14:paraId="1B7157B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供应商必须是自行提供服务，不得将成交经营管理项目进行任何方式的分包、转租。</w:t>
      </w:r>
    </w:p>
    <w:p w14:paraId="63AEB2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按合同定期到货和安装，保证正常使用设备的各种功能，配备后勤保障人员，所有设备故障响应时间不超过2小时。</w:t>
      </w:r>
    </w:p>
    <w:p w14:paraId="22E710E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供应商对其所提供的设备质量、设备安全、服务质量、清洁卫生、患者安全、押金退还等方面引起的投诉纠纷或赔偿全权负责。</w:t>
      </w:r>
    </w:p>
    <w:p w14:paraId="063D4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①供应商应服从医院相关职能管理，遵守医院规章制度，自行承担所投放设备的日常维护工作，服务期内对出现故障或丢失损坏的轮椅和归位桩进行免费维修、更换和补齐；</w:t>
      </w:r>
    </w:p>
    <w:p w14:paraId="39504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②供应商在产品投放前应自行充分论证接入电线线路的安全性，投放后因产品原因造成的一切安全事故（包括但不限于：失火、漏电、爆炸等）由供应商承担全部责任，并对此造成的人身及财产损失进行赔偿，同时负责恢复由此造成的医院声誉损失；</w:t>
      </w:r>
    </w:p>
    <w:p w14:paraId="119378D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供应商须自主处理有关共享轮椅方面的投诉受理和反馈，定期自主进行安全检查和配合医院有关职能部门进行安全检查工作。</w:t>
      </w:r>
    </w:p>
    <w:p w14:paraId="21C9A8E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供应商的经营行为接受医院的全程监督管理。</w:t>
      </w:r>
    </w:p>
    <w:p w14:paraId="3F1085E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设备服务时间要求：24小时。</w:t>
      </w:r>
    </w:p>
    <w:p w14:paraId="59EE238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eastAsia="方正仿宋_GBK" w:cs="方正仿宋_GBK"/>
          <w:sz w:val="32"/>
          <w:shd w:val="clear" w:color="auto" w:fill="auto"/>
          <w:lang w:val="en-US" w:eastAsia="zh-CN"/>
        </w:rPr>
      </w:pPr>
      <w:r>
        <w:rPr>
          <w:rFonts w:hint="eastAsia" w:ascii="Times New Roman" w:hAnsi="Times New Roman" w:eastAsia="方正仿宋_GBK" w:cs="方正仿宋_GBK"/>
          <w:sz w:val="32"/>
          <w:shd w:val="clear" w:color="auto" w:fill="auto"/>
          <w:lang w:val="en-US" w:eastAsia="zh-CN"/>
        </w:rPr>
        <w:t>若有政策、规定变更，则按新政新规执行。</w:t>
      </w:r>
    </w:p>
    <w:p w14:paraId="74A00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方正黑体_GBK" w:hAnsi="方正黑体_GBK" w:eastAsia="方正黑体_GBK" w:cs="方正黑体_GBK"/>
          <w:sz w:val="32"/>
          <w:shd w:val="clear" w:color="auto" w:fill="auto"/>
          <w:lang w:val="en-US" w:eastAsia="zh-CN"/>
        </w:rPr>
      </w:pPr>
      <w:r>
        <w:rPr>
          <w:rFonts w:hint="eastAsia" w:ascii="方正黑体_GBK" w:hAnsi="方正黑体_GBK" w:eastAsia="方正黑体_GBK" w:cs="方正黑体_GBK"/>
          <w:sz w:val="32"/>
          <w:shd w:val="clear" w:color="auto" w:fill="auto"/>
          <w:lang w:val="en-US" w:eastAsia="zh-CN"/>
        </w:rPr>
        <w:t>三、提供商品实物清晰图片（包含整体外观），图片无水印、无美颜修图。</w:t>
      </w:r>
    </w:p>
    <w:p w14:paraId="7F72088B">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32"/>
          <w:shd w:val="clear" w:color="auto" w:fill="auto"/>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3472A3C-12A7-493C-B5FC-D21CDD6C7B6E}"/>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D4404DD-383D-4176-8B1F-C0976D2AD7FF}"/>
  </w:font>
  <w:font w:name="方正黑体_GBK">
    <w:panose1 w:val="02010600010101010101"/>
    <w:charset w:val="86"/>
    <w:family w:val="auto"/>
    <w:pitch w:val="default"/>
    <w:sig w:usb0="00000001" w:usb1="080E0000" w:usb2="00000000" w:usb3="00000000" w:csb0="00040000" w:csb1="00000000"/>
    <w:embedRegular r:id="rId3" w:fontKey="{4F98C3D2-60CA-42A1-BD56-2A4AD7C6091A}"/>
  </w:font>
  <w:font w:name="方正仿宋_GBK">
    <w:panose1 w:val="02000000000000000000"/>
    <w:charset w:val="86"/>
    <w:family w:val="auto"/>
    <w:pitch w:val="default"/>
    <w:sig w:usb0="A00002BF" w:usb1="38CF7CFA" w:usb2="00082016" w:usb3="00000000" w:csb0="00040001" w:csb1="00000000"/>
    <w:embedRegular r:id="rId4" w:fontKey="{5C8CE855-F1FD-48CA-BA42-8D8874B0D532}"/>
  </w:font>
  <w:font w:name="微软雅黑">
    <w:panose1 w:val="020B0503020204020204"/>
    <w:charset w:val="86"/>
    <w:family w:val="auto"/>
    <w:pitch w:val="default"/>
    <w:sig w:usb0="80000287" w:usb1="2ACF3C50" w:usb2="00000016" w:usb3="00000000" w:csb0="0004001F" w:csb1="00000000"/>
    <w:embedRegular r:id="rId5" w:fontKey="{6F419EDD-9A2D-45D1-AEF4-FC6314CDC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C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7FCD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AFC"/>
    <w:multiLevelType w:val="singleLevel"/>
    <w:tmpl w:val="D4951AFC"/>
    <w:lvl w:ilvl="0" w:tentative="0">
      <w:start w:val="1"/>
      <w:numFmt w:val="decimal"/>
      <w:lvlText w:val="(%1)"/>
      <w:lvlJc w:val="left"/>
      <w:pPr>
        <w:ind w:left="425" w:hanging="425"/>
      </w:pPr>
      <w:rPr>
        <w:rFonts w:hint="default"/>
      </w:rPr>
    </w:lvl>
  </w:abstractNum>
  <w:abstractNum w:abstractNumId="1">
    <w:nsid w:val="EC8AE763"/>
    <w:multiLevelType w:val="singleLevel"/>
    <w:tmpl w:val="EC8AE763"/>
    <w:lvl w:ilvl="0" w:tentative="0">
      <w:start w:val="1"/>
      <w:numFmt w:val="chineseCounting"/>
      <w:suff w:val="nothing"/>
      <w:lvlText w:val="%1、"/>
      <w:lvlJc w:val="left"/>
      <w:rPr>
        <w:rFonts w:hint="eastAsia"/>
      </w:rPr>
    </w:lvl>
  </w:abstractNum>
  <w:abstractNum w:abstractNumId="2">
    <w:nsid w:val="3E9CFFE3"/>
    <w:multiLevelType w:val="singleLevel"/>
    <w:tmpl w:val="3E9CFFE3"/>
    <w:lvl w:ilvl="0" w:tentative="0">
      <w:start w:val="1"/>
      <w:numFmt w:val="decimal"/>
      <w:lvlText w:val="(%1)"/>
      <w:lvlJc w:val="left"/>
      <w:pPr>
        <w:ind w:left="425" w:hanging="425"/>
      </w:pPr>
      <w:rPr>
        <w:rFonts w:hint="default"/>
      </w:rPr>
    </w:lvl>
  </w:abstractNum>
  <w:abstractNum w:abstractNumId="3">
    <w:nsid w:val="3E9D49BC"/>
    <w:multiLevelType w:val="singleLevel"/>
    <w:tmpl w:val="3E9D49BC"/>
    <w:lvl w:ilvl="0" w:tentative="0">
      <w:start w:val="1"/>
      <w:numFmt w:val="decimal"/>
      <w:lvlText w:val="%1."/>
      <w:lvlJc w:val="left"/>
      <w:pPr>
        <w:ind w:left="425" w:hanging="425"/>
      </w:pPr>
      <w:rPr>
        <w:rFonts w:hint="default" w:ascii="Times New Roman" w:hAnsi="Times New Roman" w:cs="Times New Roman"/>
      </w:rPr>
    </w:lvl>
  </w:abstractNum>
  <w:abstractNum w:abstractNumId="4">
    <w:nsid w:val="3F0BF252"/>
    <w:multiLevelType w:val="singleLevel"/>
    <w:tmpl w:val="3F0BF252"/>
    <w:lvl w:ilvl="0" w:tentative="0">
      <w:start w:val="1"/>
      <w:numFmt w:val="decimal"/>
      <w:lvlText w:val="(%1)"/>
      <w:lvlJc w:val="left"/>
      <w:pPr>
        <w:ind w:left="425" w:hanging="425"/>
      </w:pPr>
      <w:rPr>
        <w:rFonts w:hint="default"/>
      </w:rPr>
    </w:lvl>
  </w:abstractNum>
  <w:abstractNum w:abstractNumId="5">
    <w:nsid w:val="479A74A2"/>
    <w:multiLevelType w:val="singleLevel"/>
    <w:tmpl w:val="479A74A2"/>
    <w:lvl w:ilvl="0" w:tentative="0">
      <w:start w:val="1"/>
      <w:numFmt w:val="decimal"/>
      <w:lvlText w:val="(%1)"/>
      <w:lvlJc w:val="left"/>
      <w:pPr>
        <w:ind w:left="425" w:hanging="425"/>
      </w:pPr>
      <w:rPr>
        <w:rFonts w:hint="default"/>
      </w:rPr>
    </w:lvl>
  </w:abstractNum>
  <w:abstractNum w:abstractNumId="6">
    <w:nsid w:val="4C478EF4"/>
    <w:multiLevelType w:val="singleLevel"/>
    <w:tmpl w:val="4C478EF4"/>
    <w:lvl w:ilvl="0" w:tentative="0">
      <w:start w:val="1"/>
      <w:numFmt w:val="decimal"/>
      <w:lvlText w:val="(%1)"/>
      <w:lvlJc w:val="left"/>
      <w:pPr>
        <w:ind w:left="425" w:hanging="425"/>
      </w:pPr>
      <w:rPr>
        <w:rFonts w:hint="default"/>
      </w:rPr>
    </w:lvl>
  </w:abstractNum>
  <w:abstractNum w:abstractNumId="7">
    <w:nsid w:val="76CFA24B"/>
    <w:multiLevelType w:val="singleLevel"/>
    <w:tmpl w:val="76CFA24B"/>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D42E5"/>
    <w:rsid w:val="01555A01"/>
    <w:rsid w:val="06B64A6C"/>
    <w:rsid w:val="11DA4BFC"/>
    <w:rsid w:val="1C5803F8"/>
    <w:rsid w:val="26531547"/>
    <w:rsid w:val="28CF2044"/>
    <w:rsid w:val="33553F88"/>
    <w:rsid w:val="3E6334E7"/>
    <w:rsid w:val="43E34B5D"/>
    <w:rsid w:val="496B6BBA"/>
    <w:rsid w:val="4F4D42E5"/>
    <w:rsid w:val="506D7517"/>
    <w:rsid w:val="65F32BF4"/>
    <w:rsid w:val="77BA4CFD"/>
    <w:rsid w:val="7BB4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 w:cs="Times New Roman"/>
      <w:kern w:val="2"/>
      <w:sz w:val="32"/>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1365</Words>
  <Characters>1395</Characters>
  <Lines>0</Lines>
  <Paragraphs>0</Paragraphs>
  <TotalTime>130</TotalTime>
  <ScaleCrop>false</ScaleCrop>
  <LinksUpToDate>false</LinksUpToDate>
  <CharactersWithSpaces>1424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2026-03-27T03:20:00Z</dcterms:created>
  <dc:creator>瑜</dc:creator>
  <cp:lastModifiedBy>瑜</cp:lastModifiedBy>
  <cp:lastPrinted>2026-06-29T01:07:23Z</cp:lastPrinted>
  <dcterms:modified xsi:type="dcterms:W3CDTF">2026-06-29T01:19:45Z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8B4F3AB939364BD0ADB7C6A22E34423F_11</vt:lpwstr>
  </property>
  <property fmtid="{D5CDD505-2E9C-101B-9397-08002B2CF9AE}" pid="4" name="KSOTemplateDocerSaveRecord">
    <vt:lpwstr>eyJoZGlkIjoiMTQ0NmJkMmViOWQyOTc1NzBmYjUzNWNmNTA4OTIzYzgiLCJ1c2VySWQiOiI0MjI1NzA1ODAifQ==</vt:lpwstr>
  </property>
</Properties>
</file>